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FFC9A" w14:textId="77777777" w:rsidR="00FA6BAC" w:rsidRPr="00FA6BAC" w:rsidRDefault="00FA6BAC" w:rsidP="00FA6BAC">
      <w:pPr>
        <w:rPr>
          <w:sz w:val="28"/>
          <w:szCs w:val="28"/>
        </w:rPr>
      </w:pPr>
      <w:r>
        <w:rPr>
          <w:sz w:val="28"/>
          <w:szCs w:val="28"/>
        </w:rPr>
        <w:t>STATE OF NORTH CAROLINA</w:t>
      </w:r>
      <w:r>
        <w:rPr>
          <w:sz w:val="28"/>
          <w:szCs w:val="28"/>
        </w:rPr>
        <w:tab/>
      </w:r>
      <w:r w:rsidRPr="00FA6BAC">
        <w:rPr>
          <w:sz w:val="28"/>
          <w:szCs w:val="28"/>
        </w:rPr>
        <w:t>IN THE GENERAL COURT OF JUSTICE</w:t>
      </w:r>
    </w:p>
    <w:p w14:paraId="06DA713F" w14:textId="77777777" w:rsidR="00FA6BAC" w:rsidRPr="00FA6BAC" w:rsidRDefault="00FA6BAC" w:rsidP="00FA6BAC">
      <w:pPr>
        <w:rPr>
          <w:sz w:val="28"/>
          <w:szCs w:val="28"/>
        </w:rPr>
      </w:pPr>
      <w:r w:rsidRPr="00FA6BAC">
        <w:rPr>
          <w:sz w:val="28"/>
          <w:szCs w:val="28"/>
        </w:rPr>
        <w:t>LEE COUNTY</w:t>
      </w: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t>SUPERIOR COURT DIVISION</w:t>
      </w:r>
    </w:p>
    <w:p w14:paraId="05373470" w14:textId="77777777" w:rsidR="00FA6BAC" w:rsidRPr="00FA6BAC" w:rsidRDefault="00FA6BAC" w:rsidP="00FA6BAC">
      <w:pPr>
        <w:rPr>
          <w:sz w:val="28"/>
          <w:szCs w:val="28"/>
        </w:rPr>
      </w:pPr>
    </w:p>
    <w:p w14:paraId="2E08238D" w14:textId="77777777" w:rsidR="00B713D7" w:rsidRDefault="00B713D7" w:rsidP="00FA6BAC">
      <w:pPr>
        <w:rPr>
          <w:sz w:val="28"/>
          <w:szCs w:val="28"/>
        </w:rPr>
      </w:pPr>
    </w:p>
    <w:p w14:paraId="44068B71" w14:textId="77777777" w:rsidR="00B713D7" w:rsidRDefault="00B713D7" w:rsidP="00FA6BAC">
      <w:pPr>
        <w:rPr>
          <w:sz w:val="28"/>
          <w:szCs w:val="28"/>
        </w:rPr>
      </w:pPr>
    </w:p>
    <w:p w14:paraId="31E36928" w14:textId="3FF15659" w:rsidR="00FA6BAC" w:rsidRPr="00FA6BAC" w:rsidRDefault="00FA6BAC" w:rsidP="00FA6BAC">
      <w:pPr>
        <w:rPr>
          <w:sz w:val="28"/>
          <w:szCs w:val="28"/>
        </w:rPr>
      </w:pPr>
      <w:r w:rsidRPr="00FA6BAC">
        <w:rPr>
          <w:sz w:val="28"/>
          <w:szCs w:val="28"/>
        </w:rPr>
        <w:t>STATE OF NORTH CAROLINA</w:t>
      </w:r>
      <w:r w:rsidRPr="00FA6BAC">
        <w:rPr>
          <w:sz w:val="28"/>
          <w:szCs w:val="28"/>
        </w:rPr>
        <w:tab/>
        <w:t>)</w:t>
      </w:r>
      <w:r w:rsidRPr="00FA6BAC">
        <w:rPr>
          <w:sz w:val="28"/>
          <w:szCs w:val="28"/>
        </w:rPr>
        <w:tab/>
        <w:t>FILE NO</w:t>
      </w:r>
      <w:r w:rsidR="00694595">
        <w:rPr>
          <w:sz w:val="28"/>
          <w:szCs w:val="28"/>
        </w:rPr>
        <w:t>s</w:t>
      </w:r>
      <w:r w:rsidRPr="00FA6BAC">
        <w:rPr>
          <w:sz w:val="28"/>
          <w:szCs w:val="28"/>
        </w:rPr>
        <w:t xml:space="preserve">. </w:t>
      </w:r>
      <w:r w:rsidR="00CB4CAD">
        <w:rPr>
          <w:sz w:val="28"/>
          <w:szCs w:val="28"/>
        </w:rPr>
        <w:tab/>
      </w:r>
      <w:r w:rsidRPr="00FA6BAC">
        <w:rPr>
          <w:sz w:val="28"/>
          <w:szCs w:val="28"/>
        </w:rPr>
        <w:t>14CRS 53533</w:t>
      </w:r>
      <w:r w:rsidR="00CB4CAD">
        <w:rPr>
          <w:sz w:val="28"/>
          <w:szCs w:val="28"/>
        </w:rPr>
        <w:t>A</w:t>
      </w:r>
    </w:p>
    <w:p w14:paraId="7C45ED68" w14:textId="3F13AB44" w:rsidR="00FA6BAC" w:rsidRPr="00FA6BAC" w:rsidRDefault="00FA6BAC" w:rsidP="00FA6BAC">
      <w:pPr>
        <w:rPr>
          <w:sz w:val="28"/>
          <w:szCs w:val="28"/>
        </w:rPr>
      </w:pP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t>)</w:t>
      </w:r>
      <w:r w:rsidR="00694595">
        <w:rPr>
          <w:sz w:val="28"/>
          <w:szCs w:val="28"/>
        </w:rPr>
        <w:tab/>
      </w:r>
      <w:r w:rsidR="00694595">
        <w:rPr>
          <w:sz w:val="28"/>
          <w:szCs w:val="28"/>
        </w:rPr>
        <w:tab/>
        <w:t xml:space="preserve">         </w:t>
      </w:r>
      <w:r w:rsidR="00CB4CAD">
        <w:rPr>
          <w:sz w:val="28"/>
          <w:szCs w:val="28"/>
        </w:rPr>
        <w:tab/>
      </w:r>
      <w:r w:rsidR="00694595">
        <w:rPr>
          <w:sz w:val="28"/>
          <w:szCs w:val="28"/>
        </w:rPr>
        <w:t>15CRS 00061</w:t>
      </w:r>
      <w:r w:rsidR="00CB4CAD">
        <w:rPr>
          <w:sz w:val="28"/>
          <w:szCs w:val="28"/>
        </w:rPr>
        <w:t>A</w:t>
      </w:r>
    </w:p>
    <w:p w14:paraId="21B1B2BB" w14:textId="420B1AE5" w:rsidR="00FA6BAC" w:rsidRPr="00FA6BAC" w:rsidRDefault="00FA6BAC" w:rsidP="00FA6BAC">
      <w:pPr>
        <w:rPr>
          <w:sz w:val="28"/>
          <w:szCs w:val="28"/>
        </w:rPr>
      </w:pPr>
      <w:r w:rsidRPr="00FA6BAC">
        <w:rPr>
          <w:sz w:val="28"/>
          <w:szCs w:val="28"/>
        </w:rPr>
        <w:tab/>
      </w:r>
      <w:r w:rsidRPr="00FA6BAC">
        <w:rPr>
          <w:sz w:val="28"/>
          <w:szCs w:val="28"/>
        </w:rPr>
        <w:tab/>
        <w:t>v.</w:t>
      </w:r>
      <w:r w:rsidRPr="00FA6BAC">
        <w:rPr>
          <w:sz w:val="28"/>
          <w:szCs w:val="28"/>
        </w:rPr>
        <w:tab/>
      </w:r>
      <w:r w:rsidRPr="00FA6BAC">
        <w:rPr>
          <w:sz w:val="28"/>
          <w:szCs w:val="28"/>
        </w:rPr>
        <w:tab/>
      </w:r>
      <w:r w:rsidRPr="00FA6BAC">
        <w:rPr>
          <w:sz w:val="28"/>
          <w:szCs w:val="28"/>
        </w:rPr>
        <w:tab/>
      </w:r>
      <w:r w:rsidRPr="00FA6BAC">
        <w:rPr>
          <w:sz w:val="28"/>
          <w:szCs w:val="28"/>
        </w:rPr>
        <w:tab/>
        <w:t>)</w:t>
      </w:r>
      <w:r w:rsidR="00CB4CAD">
        <w:rPr>
          <w:sz w:val="28"/>
          <w:szCs w:val="28"/>
        </w:rPr>
        <w:tab/>
      </w:r>
      <w:r w:rsidR="00CB4CAD">
        <w:rPr>
          <w:sz w:val="28"/>
          <w:szCs w:val="28"/>
        </w:rPr>
        <w:tab/>
      </w:r>
      <w:r w:rsidR="00CB4CAD">
        <w:rPr>
          <w:sz w:val="28"/>
          <w:szCs w:val="28"/>
        </w:rPr>
        <w:tab/>
        <w:t>17CRS 00206A</w:t>
      </w:r>
    </w:p>
    <w:p w14:paraId="392284D4" w14:textId="77777777" w:rsidR="00FA6BAC" w:rsidRPr="00FA6BAC" w:rsidRDefault="00FA6BAC" w:rsidP="00FA6BAC">
      <w:pPr>
        <w:rPr>
          <w:sz w:val="28"/>
          <w:szCs w:val="28"/>
        </w:rPr>
      </w:pP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t>)</w:t>
      </w:r>
    </w:p>
    <w:p w14:paraId="7C4E8B22" w14:textId="77777777" w:rsidR="00FA6BAC" w:rsidRPr="00FA6BAC" w:rsidRDefault="00FA6BAC" w:rsidP="00FA6BAC">
      <w:pPr>
        <w:rPr>
          <w:sz w:val="28"/>
          <w:szCs w:val="28"/>
        </w:rPr>
      </w:pPr>
      <w:r w:rsidRPr="00FA6BAC">
        <w:rPr>
          <w:sz w:val="28"/>
          <w:szCs w:val="28"/>
        </w:rPr>
        <w:t>EMMANUEL SANDERS</w:t>
      </w:r>
      <w:r w:rsidRPr="00FA6BAC">
        <w:rPr>
          <w:sz w:val="28"/>
          <w:szCs w:val="28"/>
        </w:rPr>
        <w:tab/>
      </w:r>
      <w:r w:rsidRPr="00FA6BAC">
        <w:rPr>
          <w:sz w:val="28"/>
          <w:szCs w:val="28"/>
        </w:rPr>
        <w:tab/>
        <w:t>)</w:t>
      </w:r>
    </w:p>
    <w:p w14:paraId="6C3C9A8C" w14:textId="77777777" w:rsidR="00FA6BAC" w:rsidRPr="00FA6BAC" w:rsidRDefault="00FA6BAC" w:rsidP="00FA6BAC">
      <w:pPr>
        <w:rPr>
          <w:sz w:val="28"/>
          <w:szCs w:val="28"/>
        </w:rPr>
      </w:pPr>
    </w:p>
    <w:p w14:paraId="7630CDCA" w14:textId="77777777" w:rsidR="00B713D7" w:rsidRDefault="00B713D7" w:rsidP="00FA6BAC">
      <w:pPr>
        <w:jc w:val="center"/>
        <w:rPr>
          <w:sz w:val="28"/>
          <w:szCs w:val="28"/>
        </w:rPr>
      </w:pPr>
    </w:p>
    <w:p w14:paraId="6C01EF28" w14:textId="46D50BC1" w:rsidR="00FA6BAC" w:rsidRPr="00FA6BAC" w:rsidRDefault="00FA6BAC" w:rsidP="00FA6BAC">
      <w:pPr>
        <w:jc w:val="center"/>
        <w:rPr>
          <w:sz w:val="28"/>
          <w:szCs w:val="28"/>
        </w:rPr>
      </w:pPr>
      <w:r w:rsidRPr="00FA6BAC">
        <w:rPr>
          <w:sz w:val="28"/>
          <w:szCs w:val="28"/>
        </w:rPr>
        <w:t>******************************</w:t>
      </w:r>
    </w:p>
    <w:p w14:paraId="2140CCF1" w14:textId="7D3D85D1" w:rsidR="00FA6BAC" w:rsidRPr="00F1285C" w:rsidRDefault="00984A50" w:rsidP="00FA6BAC">
      <w:pPr>
        <w:jc w:val="center"/>
        <w:rPr>
          <w:b/>
          <w:sz w:val="28"/>
          <w:szCs w:val="28"/>
        </w:rPr>
      </w:pPr>
      <w:r w:rsidRPr="00F1285C">
        <w:rPr>
          <w:b/>
          <w:sz w:val="28"/>
          <w:szCs w:val="28"/>
        </w:rPr>
        <w:t xml:space="preserve">MOTION TO SUPPRESS </w:t>
      </w:r>
      <w:r w:rsidR="00F05927">
        <w:rPr>
          <w:b/>
          <w:sz w:val="28"/>
          <w:szCs w:val="28"/>
        </w:rPr>
        <w:t>TOWER DUMP</w:t>
      </w:r>
      <w:r w:rsidR="00D8347E">
        <w:rPr>
          <w:b/>
          <w:sz w:val="28"/>
          <w:szCs w:val="28"/>
        </w:rPr>
        <w:t xml:space="preserve"> RECORDS</w:t>
      </w:r>
    </w:p>
    <w:p w14:paraId="4E02F352" w14:textId="77777777" w:rsidR="00FA6BAC" w:rsidRPr="00FA6BAC" w:rsidRDefault="00FA6BAC" w:rsidP="00FA6BAC">
      <w:pPr>
        <w:jc w:val="center"/>
        <w:rPr>
          <w:sz w:val="28"/>
          <w:szCs w:val="28"/>
        </w:rPr>
      </w:pPr>
      <w:r w:rsidRPr="00FA6BAC">
        <w:rPr>
          <w:sz w:val="28"/>
          <w:szCs w:val="28"/>
        </w:rPr>
        <w:t>******************************</w:t>
      </w:r>
    </w:p>
    <w:p w14:paraId="24896ADB" w14:textId="77777777" w:rsidR="00B713D7" w:rsidRDefault="00B713D7" w:rsidP="000815B2">
      <w:pPr>
        <w:jc w:val="both"/>
        <w:rPr>
          <w:sz w:val="28"/>
          <w:szCs w:val="28"/>
        </w:rPr>
      </w:pPr>
    </w:p>
    <w:p w14:paraId="28AE7B28" w14:textId="488C376C" w:rsidR="00A11DF8" w:rsidRDefault="00345C32" w:rsidP="000815B2">
      <w:pPr>
        <w:jc w:val="both"/>
        <w:rPr>
          <w:sz w:val="28"/>
          <w:szCs w:val="28"/>
        </w:rPr>
      </w:pPr>
      <w:r w:rsidRPr="00345C32">
        <w:rPr>
          <w:sz w:val="28"/>
          <w:szCs w:val="28"/>
        </w:rPr>
        <w:t>NOW COMES</w:t>
      </w:r>
      <w:r>
        <w:rPr>
          <w:sz w:val="28"/>
          <w:szCs w:val="28"/>
        </w:rPr>
        <w:t xml:space="preserve"> Emmanuel Sanders, </w:t>
      </w:r>
      <w:r w:rsidR="00F741C2">
        <w:rPr>
          <w:i/>
          <w:sz w:val="28"/>
          <w:szCs w:val="28"/>
        </w:rPr>
        <w:t xml:space="preserve">pro se, </w:t>
      </w:r>
      <w:r>
        <w:rPr>
          <w:sz w:val="28"/>
          <w:szCs w:val="28"/>
        </w:rPr>
        <w:t xml:space="preserve">and </w:t>
      </w:r>
      <w:r w:rsidRPr="00345C32">
        <w:rPr>
          <w:sz w:val="28"/>
          <w:szCs w:val="28"/>
        </w:rPr>
        <w:t xml:space="preserve">moves this Court pursuant to the </w:t>
      </w:r>
      <w:r w:rsidR="00E83F08">
        <w:rPr>
          <w:sz w:val="28"/>
          <w:szCs w:val="28"/>
        </w:rPr>
        <w:t xml:space="preserve">Fourth </w:t>
      </w:r>
      <w:r w:rsidR="00F05927">
        <w:rPr>
          <w:sz w:val="28"/>
          <w:szCs w:val="28"/>
        </w:rPr>
        <w:t>Amendment of</w:t>
      </w:r>
      <w:r w:rsidRPr="00345C32">
        <w:rPr>
          <w:sz w:val="28"/>
          <w:szCs w:val="28"/>
        </w:rPr>
        <w:t xml:space="preserve"> the United S</w:t>
      </w:r>
      <w:r w:rsidR="00073A58">
        <w:rPr>
          <w:sz w:val="28"/>
          <w:szCs w:val="28"/>
        </w:rPr>
        <w:t>tates Constitution; Article I</w:t>
      </w:r>
      <w:r w:rsidR="00E83F08">
        <w:rPr>
          <w:sz w:val="28"/>
          <w:szCs w:val="28"/>
        </w:rPr>
        <w:t>,</w:t>
      </w:r>
      <w:r w:rsidR="00073A58">
        <w:rPr>
          <w:sz w:val="28"/>
          <w:szCs w:val="28"/>
        </w:rPr>
        <w:t xml:space="preserve"> §</w:t>
      </w:r>
      <w:r w:rsidR="00E83F08">
        <w:rPr>
          <w:sz w:val="28"/>
          <w:szCs w:val="28"/>
        </w:rPr>
        <w:t xml:space="preserve"> 20 of the North Carolina State Constitution;</w:t>
      </w:r>
      <w:r w:rsidRPr="00345C32">
        <w:rPr>
          <w:sz w:val="28"/>
          <w:szCs w:val="28"/>
        </w:rPr>
        <w:t xml:space="preserve"> </w:t>
      </w:r>
      <w:r w:rsidR="00E83F08">
        <w:rPr>
          <w:sz w:val="28"/>
          <w:szCs w:val="28"/>
        </w:rPr>
        <w:t xml:space="preserve">the Stored Communications Act (“SCA”); and </w:t>
      </w:r>
      <w:r w:rsidRPr="00345C32">
        <w:rPr>
          <w:sz w:val="28"/>
          <w:szCs w:val="28"/>
        </w:rPr>
        <w:t>North Caro</w:t>
      </w:r>
      <w:r w:rsidR="00E83F08">
        <w:rPr>
          <w:sz w:val="28"/>
          <w:szCs w:val="28"/>
        </w:rPr>
        <w:t xml:space="preserve">lina General Statute </w:t>
      </w:r>
      <w:r w:rsidR="00BF51C1">
        <w:rPr>
          <w:sz w:val="28"/>
          <w:szCs w:val="28"/>
        </w:rPr>
        <w:t xml:space="preserve">§ </w:t>
      </w:r>
      <w:r w:rsidR="00E83F08">
        <w:rPr>
          <w:sz w:val="28"/>
          <w:szCs w:val="28"/>
        </w:rPr>
        <w:t>15A-974,</w:t>
      </w:r>
      <w:r w:rsidRPr="00345C32">
        <w:rPr>
          <w:sz w:val="28"/>
          <w:szCs w:val="28"/>
        </w:rPr>
        <w:t xml:space="preserve"> to suppress </w:t>
      </w:r>
      <w:r w:rsidR="0069474B">
        <w:rPr>
          <w:sz w:val="28"/>
          <w:szCs w:val="28"/>
        </w:rPr>
        <w:t xml:space="preserve">historical cell phone </w:t>
      </w:r>
      <w:r w:rsidR="00DE6EE0">
        <w:rPr>
          <w:sz w:val="28"/>
          <w:szCs w:val="28"/>
        </w:rPr>
        <w:t>records</w:t>
      </w:r>
      <w:r w:rsidR="00E83F08">
        <w:rPr>
          <w:sz w:val="28"/>
          <w:szCs w:val="28"/>
        </w:rPr>
        <w:t xml:space="preserve"> from nine cell towers in Sanford, North Carolina, obtained by court order under 18 U.S.C. § 2703(d).</w:t>
      </w:r>
    </w:p>
    <w:p w14:paraId="731FE8EA" w14:textId="77777777" w:rsidR="00B713D7" w:rsidRDefault="00B713D7" w:rsidP="000815B2">
      <w:pPr>
        <w:jc w:val="both"/>
        <w:rPr>
          <w:sz w:val="28"/>
          <w:szCs w:val="28"/>
        </w:rPr>
      </w:pPr>
    </w:p>
    <w:p w14:paraId="3B51953C" w14:textId="64FE939E" w:rsidR="00A11DF8" w:rsidRPr="005A6077" w:rsidRDefault="00DE6EE0" w:rsidP="000815B2">
      <w:pPr>
        <w:jc w:val="both"/>
        <w:rPr>
          <w:sz w:val="28"/>
          <w:szCs w:val="28"/>
        </w:rPr>
      </w:pPr>
      <w:r>
        <w:rPr>
          <w:sz w:val="28"/>
          <w:szCs w:val="28"/>
        </w:rPr>
        <w:t>The use of a 2703(d) order to obtain</w:t>
      </w:r>
      <w:r w:rsidR="0069474B">
        <w:rPr>
          <w:sz w:val="28"/>
          <w:szCs w:val="28"/>
        </w:rPr>
        <w:t xml:space="preserve"> </w:t>
      </w:r>
      <w:r>
        <w:rPr>
          <w:sz w:val="28"/>
          <w:szCs w:val="28"/>
        </w:rPr>
        <w:t xml:space="preserve">data </w:t>
      </w:r>
      <w:r w:rsidR="0069474B">
        <w:rPr>
          <w:sz w:val="28"/>
          <w:szCs w:val="28"/>
        </w:rPr>
        <w:t>from</w:t>
      </w:r>
      <w:r>
        <w:rPr>
          <w:sz w:val="28"/>
          <w:szCs w:val="28"/>
        </w:rPr>
        <w:t xml:space="preserve"> nine </w:t>
      </w:r>
      <w:r w:rsidR="0069474B">
        <w:rPr>
          <w:sz w:val="28"/>
          <w:szCs w:val="28"/>
        </w:rPr>
        <w:t xml:space="preserve">cell towers over the course of an hour, </w:t>
      </w:r>
      <w:r w:rsidR="00A11DF8">
        <w:rPr>
          <w:sz w:val="28"/>
          <w:szCs w:val="28"/>
        </w:rPr>
        <w:t xml:space="preserve">nine </w:t>
      </w:r>
      <w:r>
        <w:rPr>
          <w:sz w:val="28"/>
          <w:szCs w:val="28"/>
        </w:rPr>
        <w:t>so-called “tower dump</w:t>
      </w:r>
      <w:r w:rsidR="0069474B">
        <w:rPr>
          <w:sz w:val="28"/>
          <w:szCs w:val="28"/>
        </w:rPr>
        <w:t>s</w:t>
      </w:r>
      <w:r>
        <w:rPr>
          <w:sz w:val="28"/>
          <w:szCs w:val="28"/>
        </w:rPr>
        <w:t xml:space="preserve">,” </w:t>
      </w:r>
      <w:r w:rsidR="00BD5D9B">
        <w:rPr>
          <w:sz w:val="28"/>
          <w:szCs w:val="28"/>
        </w:rPr>
        <w:t xml:space="preserve">is not authorized by statute under the SCA. </w:t>
      </w:r>
      <w:r w:rsidR="00A11DF8">
        <w:rPr>
          <w:sz w:val="28"/>
          <w:szCs w:val="28"/>
        </w:rPr>
        <w:t>Instead</w:t>
      </w:r>
      <w:r w:rsidR="00BD5D9B">
        <w:rPr>
          <w:sz w:val="28"/>
          <w:szCs w:val="28"/>
        </w:rPr>
        <w:t xml:space="preserve">, tower dumps amount to prohibited “general warrants” under </w:t>
      </w:r>
      <w:r>
        <w:rPr>
          <w:sz w:val="28"/>
          <w:szCs w:val="28"/>
        </w:rPr>
        <w:t xml:space="preserve">the Fourth Amendment and Article I, § 20 of the North Carolina Constitution. </w:t>
      </w:r>
      <w:r w:rsidR="0069474B">
        <w:rPr>
          <w:sz w:val="28"/>
          <w:szCs w:val="28"/>
        </w:rPr>
        <w:t>Compelling service providers to comply with tower dump requests</w:t>
      </w:r>
      <w:r w:rsidR="001758D1">
        <w:rPr>
          <w:sz w:val="28"/>
          <w:szCs w:val="28"/>
        </w:rPr>
        <w:t xml:space="preserve"> </w:t>
      </w:r>
      <w:r w:rsidR="0069474B">
        <w:rPr>
          <w:sz w:val="28"/>
          <w:szCs w:val="28"/>
        </w:rPr>
        <w:t xml:space="preserve">can implicate the privacy of hundreds or thousands of </w:t>
      </w:r>
      <w:r w:rsidR="00BD5D9B">
        <w:rPr>
          <w:sz w:val="28"/>
          <w:szCs w:val="28"/>
        </w:rPr>
        <w:t xml:space="preserve">innocent people, for whom there is no probable cause to suspect of criminality. </w:t>
      </w:r>
      <w:r w:rsidR="00A11DF8">
        <w:rPr>
          <w:sz w:val="28"/>
          <w:szCs w:val="28"/>
        </w:rPr>
        <w:t xml:space="preserve">A tower dump could be used to </w:t>
      </w:r>
      <w:r w:rsidR="005A6077">
        <w:rPr>
          <w:sz w:val="28"/>
          <w:szCs w:val="28"/>
        </w:rPr>
        <w:t xml:space="preserve">easily </w:t>
      </w:r>
      <w:r w:rsidR="00A11DF8">
        <w:rPr>
          <w:sz w:val="28"/>
          <w:szCs w:val="28"/>
        </w:rPr>
        <w:t xml:space="preserve">identify the people at home in a neighborhood on a particular </w:t>
      </w:r>
      <w:r w:rsidR="00A11DF8" w:rsidRPr="005A6077">
        <w:rPr>
          <w:sz w:val="28"/>
          <w:szCs w:val="28"/>
        </w:rPr>
        <w:t xml:space="preserve">night, the protesters at a political rally, or the congregants attending a mosque, synagogue, or church. </w:t>
      </w:r>
      <w:r w:rsidR="00BD5D9B" w:rsidRPr="005A6077">
        <w:rPr>
          <w:sz w:val="28"/>
          <w:szCs w:val="28"/>
        </w:rPr>
        <w:t xml:space="preserve">Such </w:t>
      </w:r>
      <w:r w:rsidR="005A6077" w:rsidRPr="005A6077">
        <w:rPr>
          <w:sz w:val="28"/>
          <w:szCs w:val="28"/>
        </w:rPr>
        <w:t xml:space="preserve">indiscriminate, </w:t>
      </w:r>
      <w:r w:rsidR="00BD5D9B" w:rsidRPr="005A6077">
        <w:rPr>
          <w:sz w:val="28"/>
          <w:szCs w:val="28"/>
        </w:rPr>
        <w:t xml:space="preserve">bulk surveillance is the “chief evil” </w:t>
      </w:r>
      <w:r w:rsidR="005A6077" w:rsidRPr="005A6077">
        <w:rPr>
          <w:sz w:val="28"/>
          <w:szCs w:val="28"/>
        </w:rPr>
        <w:t>that gave rise to</w:t>
      </w:r>
      <w:r w:rsidR="00A11DF8" w:rsidRPr="005A6077">
        <w:rPr>
          <w:sz w:val="28"/>
          <w:szCs w:val="28"/>
        </w:rPr>
        <w:t xml:space="preserve"> the Fourth Amendment and its prohibition on general warrants.</w:t>
      </w:r>
      <w:r w:rsidR="005A6077" w:rsidRPr="005A6077">
        <w:rPr>
          <w:sz w:val="28"/>
          <w:szCs w:val="28"/>
        </w:rPr>
        <w:t xml:space="preserve"> </w:t>
      </w:r>
      <w:r w:rsidR="005A6077" w:rsidRPr="005A6077">
        <w:rPr>
          <w:i/>
          <w:sz w:val="28"/>
          <w:szCs w:val="28"/>
        </w:rPr>
        <w:t>United States v.</w:t>
      </w:r>
      <w:r w:rsidR="005A6077">
        <w:rPr>
          <w:i/>
          <w:sz w:val="28"/>
          <w:szCs w:val="28"/>
        </w:rPr>
        <w:t xml:space="preserve"> Galpin</w:t>
      </w:r>
      <w:r w:rsidR="005A6077">
        <w:rPr>
          <w:sz w:val="28"/>
          <w:szCs w:val="28"/>
        </w:rPr>
        <w:t xml:space="preserve">, 720 F.3d 436, 445 (2d Cir. 2013) (quoting </w:t>
      </w:r>
      <w:r w:rsidR="005A6077">
        <w:rPr>
          <w:i/>
          <w:sz w:val="28"/>
          <w:szCs w:val="28"/>
        </w:rPr>
        <w:t>Payton v. New York</w:t>
      </w:r>
      <w:r w:rsidR="005A6077">
        <w:rPr>
          <w:sz w:val="28"/>
          <w:szCs w:val="28"/>
        </w:rPr>
        <w:t>, 445 U.S. 573, 583 (1980)).</w:t>
      </w:r>
    </w:p>
    <w:p w14:paraId="61AB9FEA" w14:textId="77777777" w:rsidR="00B713D7" w:rsidRDefault="00B713D7" w:rsidP="000815B2">
      <w:pPr>
        <w:jc w:val="both"/>
        <w:rPr>
          <w:sz w:val="28"/>
          <w:szCs w:val="28"/>
        </w:rPr>
      </w:pPr>
    </w:p>
    <w:p w14:paraId="7AADF339" w14:textId="288A6E06" w:rsidR="00BD5D9B" w:rsidRDefault="00BD5D9B" w:rsidP="000815B2">
      <w:pPr>
        <w:jc w:val="both"/>
        <w:rPr>
          <w:sz w:val="28"/>
          <w:szCs w:val="28"/>
        </w:rPr>
      </w:pPr>
      <w:r>
        <w:rPr>
          <w:sz w:val="28"/>
          <w:szCs w:val="28"/>
        </w:rPr>
        <w:t>Even if this Court does not read the SCA, the Fourth Amendment</w:t>
      </w:r>
      <w:r w:rsidR="007F2F7E">
        <w:rPr>
          <w:sz w:val="28"/>
          <w:szCs w:val="28"/>
        </w:rPr>
        <w:t>, and Art. I, § 20</w:t>
      </w:r>
      <w:r>
        <w:rPr>
          <w:sz w:val="28"/>
          <w:szCs w:val="28"/>
        </w:rPr>
        <w:t xml:space="preserve">, to prohibit government from seeking tower dump </w:t>
      </w:r>
      <w:r w:rsidR="0050568C">
        <w:rPr>
          <w:sz w:val="28"/>
          <w:szCs w:val="28"/>
        </w:rPr>
        <w:t>authorizations</w:t>
      </w:r>
      <w:r>
        <w:rPr>
          <w:sz w:val="28"/>
          <w:szCs w:val="28"/>
        </w:rPr>
        <w:t xml:space="preserve"> in all circumstances</w:t>
      </w:r>
      <w:r w:rsidR="007F2F7E">
        <w:rPr>
          <w:sz w:val="28"/>
          <w:szCs w:val="28"/>
        </w:rPr>
        <w:t xml:space="preserve">, it should conclude that tower dumps require the judicial oversight provided by a probable cause warrant under </w:t>
      </w:r>
      <w:r w:rsidR="007F2F7E">
        <w:rPr>
          <w:i/>
          <w:sz w:val="28"/>
          <w:szCs w:val="28"/>
        </w:rPr>
        <w:t>Carpenter v. United States</w:t>
      </w:r>
      <w:r w:rsidR="007F2F7E">
        <w:rPr>
          <w:sz w:val="28"/>
          <w:szCs w:val="28"/>
        </w:rPr>
        <w:t xml:space="preserve">, </w:t>
      </w:r>
      <w:r w:rsidR="00F71B71">
        <w:rPr>
          <w:sz w:val="28"/>
          <w:szCs w:val="28"/>
        </w:rPr>
        <w:t xml:space="preserve">138 S. Ct. </w:t>
      </w:r>
      <w:r w:rsidR="00F71B71">
        <w:rPr>
          <w:sz w:val="28"/>
          <w:szCs w:val="28"/>
        </w:rPr>
        <w:lastRenderedPageBreak/>
        <w:t xml:space="preserve">2206, 2221 (2018). </w:t>
      </w:r>
      <w:r w:rsidR="007F2F7E">
        <w:rPr>
          <w:sz w:val="28"/>
          <w:szCs w:val="28"/>
        </w:rPr>
        <w:t xml:space="preserve">In </w:t>
      </w:r>
      <w:r w:rsidR="007F2F7E">
        <w:rPr>
          <w:i/>
          <w:sz w:val="28"/>
          <w:szCs w:val="28"/>
        </w:rPr>
        <w:t>Carpenter</w:t>
      </w:r>
      <w:r w:rsidR="007F2F7E">
        <w:rPr>
          <w:sz w:val="28"/>
          <w:szCs w:val="28"/>
        </w:rPr>
        <w:t xml:space="preserve">, the Supreme Court held that individuals have a reasonable expectation of privacy in their </w:t>
      </w:r>
      <w:r w:rsidR="00F71B71">
        <w:rPr>
          <w:sz w:val="28"/>
          <w:szCs w:val="28"/>
        </w:rPr>
        <w:t>physical movements as captured by</w:t>
      </w:r>
      <w:r w:rsidR="007F2F7E">
        <w:rPr>
          <w:sz w:val="28"/>
          <w:szCs w:val="28"/>
        </w:rPr>
        <w:t xml:space="preserve"> cell-site location information (</w:t>
      </w:r>
      <w:r w:rsidR="00F71B71">
        <w:rPr>
          <w:sz w:val="28"/>
          <w:szCs w:val="28"/>
        </w:rPr>
        <w:t>“</w:t>
      </w:r>
      <w:r w:rsidR="007F2F7E">
        <w:rPr>
          <w:sz w:val="28"/>
          <w:szCs w:val="28"/>
        </w:rPr>
        <w:t>CSLI</w:t>
      </w:r>
      <w:r w:rsidR="00F71B71">
        <w:rPr>
          <w:sz w:val="28"/>
          <w:szCs w:val="28"/>
        </w:rPr>
        <w:t>”</w:t>
      </w:r>
      <w:r w:rsidR="007F2F7E">
        <w:rPr>
          <w:sz w:val="28"/>
          <w:szCs w:val="28"/>
        </w:rPr>
        <w:t>).</w:t>
      </w:r>
      <w:r w:rsidR="005526E0">
        <w:rPr>
          <w:sz w:val="28"/>
          <w:szCs w:val="28"/>
        </w:rPr>
        <w:t xml:space="preserve"> </w:t>
      </w:r>
      <w:r w:rsidR="005526E0">
        <w:rPr>
          <w:i/>
          <w:sz w:val="28"/>
          <w:szCs w:val="28"/>
        </w:rPr>
        <w:t>Id.</w:t>
      </w:r>
      <w:r w:rsidR="005526E0">
        <w:rPr>
          <w:sz w:val="28"/>
          <w:szCs w:val="28"/>
        </w:rPr>
        <w:t xml:space="preserve"> at 2217.</w:t>
      </w:r>
      <w:r w:rsidR="007F2F7E">
        <w:rPr>
          <w:sz w:val="28"/>
          <w:szCs w:val="28"/>
        </w:rPr>
        <w:t xml:space="preserve"> Although the Court did not rule on the constitu</w:t>
      </w:r>
      <w:r w:rsidR="00F71B71">
        <w:rPr>
          <w:sz w:val="28"/>
          <w:szCs w:val="28"/>
        </w:rPr>
        <w:t xml:space="preserve">tionality of tower dumps, </w:t>
      </w:r>
      <w:r w:rsidR="00F71B71">
        <w:rPr>
          <w:i/>
          <w:sz w:val="28"/>
          <w:szCs w:val="28"/>
        </w:rPr>
        <w:t xml:space="preserve">id. </w:t>
      </w:r>
      <w:r w:rsidR="00F71B71">
        <w:rPr>
          <w:sz w:val="28"/>
          <w:szCs w:val="28"/>
        </w:rPr>
        <w:t>At 2220 (“We do not express a view on matters not before us: real-time CSLI or ‘tower dumps’”)</w:t>
      </w:r>
      <w:r w:rsidR="007F2F7E">
        <w:rPr>
          <w:sz w:val="28"/>
          <w:szCs w:val="28"/>
        </w:rPr>
        <w:t xml:space="preserve">, the cell phone records at issue </w:t>
      </w:r>
      <w:r w:rsidR="00F71B71">
        <w:rPr>
          <w:sz w:val="28"/>
          <w:szCs w:val="28"/>
        </w:rPr>
        <w:t xml:space="preserve">here share the same qualities and </w:t>
      </w:r>
      <w:r w:rsidR="007F2F7E">
        <w:rPr>
          <w:sz w:val="28"/>
          <w:szCs w:val="28"/>
        </w:rPr>
        <w:t xml:space="preserve">implicate the same constitutional concerns that animated a majority of the Court in </w:t>
      </w:r>
      <w:r w:rsidR="007F2F7E">
        <w:rPr>
          <w:i/>
          <w:sz w:val="28"/>
          <w:szCs w:val="28"/>
        </w:rPr>
        <w:t>Carpenter</w:t>
      </w:r>
      <w:r w:rsidR="007F2F7E">
        <w:rPr>
          <w:sz w:val="28"/>
          <w:szCs w:val="28"/>
        </w:rPr>
        <w:t>.</w:t>
      </w:r>
      <w:r w:rsidR="00F71B71">
        <w:rPr>
          <w:sz w:val="28"/>
          <w:szCs w:val="28"/>
        </w:rPr>
        <w:t xml:space="preserve"> </w:t>
      </w:r>
    </w:p>
    <w:p w14:paraId="1E9F220E" w14:textId="77777777" w:rsidR="00B713D7" w:rsidRDefault="00B713D7" w:rsidP="000815B2">
      <w:pPr>
        <w:jc w:val="both"/>
        <w:rPr>
          <w:sz w:val="28"/>
          <w:szCs w:val="28"/>
        </w:rPr>
      </w:pPr>
    </w:p>
    <w:p w14:paraId="2E4784B9" w14:textId="34B13F1C" w:rsidR="00345C32" w:rsidRDefault="000724CB" w:rsidP="000815B2">
      <w:pPr>
        <w:jc w:val="both"/>
        <w:rPr>
          <w:sz w:val="28"/>
          <w:szCs w:val="28"/>
        </w:rPr>
      </w:pPr>
      <w:r w:rsidRPr="0039492E">
        <w:rPr>
          <w:sz w:val="28"/>
          <w:szCs w:val="28"/>
        </w:rPr>
        <w:t>Tower dump records are at least as “</w:t>
      </w:r>
      <w:r w:rsidRPr="005A6077">
        <w:rPr>
          <w:color w:val="000000"/>
          <w:sz w:val="28"/>
          <w:szCs w:val="28"/>
          <w:shd w:val="clear" w:color="auto" w:fill="FFFFFF"/>
        </w:rPr>
        <w:t>detailed, encyclopedic, and effortlessly compiled</w:t>
      </w:r>
      <w:r w:rsidRPr="0039492E">
        <w:rPr>
          <w:color w:val="000000"/>
          <w:sz w:val="28"/>
          <w:szCs w:val="28"/>
          <w:shd w:val="clear" w:color="auto" w:fill="FFFFFF"/>
        </w:rPr>
        <w:t xml:space="preserve">” as CSLI, </w:t>
      </w:r>
      <w:r w:rsidRPr="0039492E">
        <w:rPr>
          <w:i/>
          <w:color w:val="000000"/>
          <w:sz w:val="28"/>
          <w:szCs w:val="28"/>
          <w:shd w:val="clear" w:color="auto" w:fill="FFFFFF"/>
        </w:rPr>
        <w:t>see id.</w:t>
      </w:r>
      <w:r w:rsidRPr="0039492E">
        <w:rPr>
          <w:color w:val="000000"/>
          <w:sz w:val="28"/>
          <w:szCs w:val="28"/>
          <w:shd w:val="clear" w:color="auto" w:fill="FFFFFF"/>
        </w:rPr>
        <w:t xml:space="preserve"> at 2216, with the same propensity to reveal</w:t>
      </w:r>
      <w:r w:rsidR="0039492E" w:rsidRPr="0039492E">
        <w:rPr>
          <w:color w:val="000000"/>
          <w:sz w:val="28"/>
          <w:szCs w:val="28"/>
          <w:shd w:val="clear" w:color="auto" w:fill="FFFFFF"/>
        </w:rPr>
        <w:t xml:space="preserve"> private</w:t>
      </w:r>
      <w:r w:rsidRPr="0039492E">
        <w:rPr>
          <w:color w:val="000000"/>
          <w:sz w:val="28"/>
          <w:szCs w:val="28"/>
          <w:shd w:val="clear" w:color="auto" w:fill="FFFFFF"/>
        </w:rPr>
        <w:t xml:space="preserve"> “familial, political, professional, religious, and sexual associations.” </w:t>
      </w:r>
      <w:r w:rsidRPr="0039492E">
        <w:rPr>
          <w:i/>
          <w:color w:val="000000"/>
          <w:sz w:val="28"/>
          <w:szCs w:val="28"/>
          <w:shd w:val="clear" w:color="auto" w:fill="FFFFFF"/>
        </w:rPr>
        <w:t>Id.</w:t>
      </w:r>
      <w:r w:rsidRPr="0039492E">
        <w:rPr>
          <w:color w:val="000000"/>
          <w:sz w:val="28"/>
          <w:szCs w:val="28"/>
          <w:shd w:val="clear" w:color="auto" w:fill="FFFFFF"/>
        </w:rPr>
        <w:t xml:space="preserve"> at 2217 (quoting </w:t>
      </w:r>
      <w:r w:rsidRPr="0039492E">
        <w:rPr>
          <w:i/>
          <w:color w:val="000000"/>
          <w:sz w:val="28"/>
          <w:szCs w:val="28"/>
          <w:shd w:val="clear" w:color="auto" w:fill="FFFFFF"/>
        </w:rPr>
        <w:t>United States v. Jones</w:t>
      </w:r>
      <w:r w:rsidRPr="0039492E">
        <w:rPr>
          <w:color w:val="000000"/>
          <w:sz w:val="28"/>
          <w:szCs w:val="28"/>
          <w:shd w:val="clear" w:color="auto" w:fill="FFFFFF"/>
        </w:rPr>
        <w:t xml:space="preserve">, 565 U.S. </w:t>
      </w:r>
      <w:r w:rsidR="0039492E" w:rsidRPr="0039492E">
        <w:rPr>
          <w:color w:val="000000"/>
          <w:sz w:val="28"/>
          <w:szCs w:val="28"/>
          <w:shd w:val="clear" w:color="auto" w:fill="FFFFFF"/>
        </w:rPr>
        <w:t>400</w:t>
      </w:r>
      <w:r w:rsidRPr="0039492E">
        <w:rPr>
          <w:color w:val="000000"/>
          <w:sz w:val="28"/>
          <w:szCs w:val="28"/>
          <w:shd w:val="clear" w:color="auto" w:fill="FFFFFF"/>
        </w:rPr>
        <w:t>, 41</w:t>
      </w:r>
      <w:r w:rsidR="0039492E" w:rsidRPr="0039492E">
        <w:rPr>
          <w:color w:val="000000"/>
          <w:sz w:val="28"/>
          <w:szCs w:val="28"/>
          <w:shd w:val="clear" w:color="auto" w:fill="FFFFFF"/>
        </w:rPr>
        <w:t>5 (2012)</w:t>
      </w:r>
      <w:r w:rsidRPr="0039492E">
        <w:rPr>
          <w:color w:val="000000"/>
          <w:sz w:val="28"/>
          <w:szCs w:val="28"/>
          <w:shd w:val="clear" w:color="auto" w:fill="FFFFFF"/>
        </w:rPr>
        <w:t xml:space="preserve"> (opinion of Soto</w:t>
      </w:r>
      <w:r w:rsidR="0039492E" w:rsidRPr="0039492E">
        <w:rPr>
          <w:color w:val="000000"/>
          <w:sz w:val="28"/>
          <w:szCs w:val="28"/>
          <w:shd w:val="clear" w:color="auto" w:fill="FFFFFF"/>
        </w:rPr>
        <w:t>mayor, J.)).</w:t>
      </w:r>
      <w:r w:rsidR="0039492E" w:rsidRPr="0039492E">
        <w:rPr>
          <w:sz w:val="28"/>
          <w:szCs w:val="28"/>
        </w:rPr>
        <w:t xml:space="preserve"> </w:t>
      </w:r>
      <w:r w:rsidR="00CF2B0B">
        <w:rPr>
          <w:sz w:val="28"/>
          <w:szCs w:val="28"/>
        </w:rPr>
        <w:t xml:space="preserve">Thus, at a minimum, the government should have obtained warrant based on probable cause that the tower dumps would turn up evidence of a crime. It failed to do so. </w:t>
      </w:r>
      <w:r w:rsidR="00345C32" w:rsidRPr="0039492E">
        <w:rPr>
          <w:sz w:val="28"/>
          <w:szCs w:val="28"/>
        </w:rPr>
        <w:t>As a result</w:t>
      </w:r>
      <w:r w:rsidR="00984A50" w:rsidRPr="0039492E">
        <w:rPr>
          <w:sz w:val="28"/>
          <w:szCs w:val="28"/>
        </w:rPr>
        <w:t>,</w:t>
      </w:r>
      <w:r w:rsidR="001758D1" w:rsidRPr="0039492E">
        <w:rPr>
          <w:sz w:val="28"/>
          <w:szCs w:val="28"/>
        </w:rPr>
        <w:t xml:space="preserve"> this Court should suppress </w:t>
      </w:r>
      <w:r w:rsidR="0039492E" w:rsidRPr="0039492E">
        <w:rPr>
          <w:sz w:val="28"/>
          <w:szCs w:val="28"/>
        </w:rPr>
        <w:t>all</w:t>
      </w:r>
      <w:r w:rsidR="001758D1" w:rsidRPr="0039492E">
        <w:rPr>
          <w:sz w:val="28"/>
          <w:szCs w:val="28"/>
        </w:rPr>
        <w:t xml:space="preserve"> </w:t>
      </w:r>
      <w:r w:rsidR="0039492E" w:rsidRPr="0039492E">
        <w:rPr>
          <w:sz w:val="28"/>
          <w:szCs w:val="28"/>
        </w:rPr>
        <w:t xml:space="preserve">tower dump </w:t>
      </w:r>
      <w:r w:rsidR="001758D1" w:rsidRPr="0039492E">
        <w:rPr>
          <w:sz w:val="28"/>
          <w:szCs w:val="28"/>
        </w:rPr>
        <w:t xml:space="preserve">records obtained </w:t>
      </w:r>
      <w:r w:rsidR="0039492E" w:rsidRPr="0039492E">
        <w:rPr>
          <w:sz w:val="28"/>
          <w:szCs w:val="28"/>
        </w:rPr>
        <w:t>without a warrant</w:t>
      </w:r>
      <w:r w:rsidR="0039492E">
        <w:rPr>
          <w:sz w:val="28"/>
          <w:szCs w:val="28"/>
        </w:rPr>
        <w:t>,</w:t>
      </w:r>
      <w:r w:rsidR="0039492E" w:rsidRPr="0039492E">
        <w:rPr>
          <w:sz w:val="28"/>
          <w:szCs w:val="28"/>
        </w:rPr>
        <w:t xml:space="preserve"> and</w:t>
      </w:r>
      <w:r w:rsidR="001758D1" w:rsidRPr="0039492E">
        <w:rPr>
          <w:sz w:val="28"/>
          <w:szCs w:val="28"/>
        </w:rPr>
        <w:t xml:space="preserve"> all </w:t>
      </w:r>
      <w:r w:rsidR="0039492E">
        <w:rPr>
          <w:sz w:val="28"/>
          <w:szCs w:val="28"/>
        </w:rPr>
        <w:t xml:space="preserve">of the </w:t>
      </w:r>
      <w:r w:rsidR="001758D1" w:rsidRPr="0039492E">
        <w:rPr>
          <w:sz w:val="28"/>
          <w:szCs w:val="28"/>
        </w:rPr>
        <w:t xml:space="preserve">fruits thereof. </w:t>
      </w:r>
      <w:r w:rsidR="00BF51C1">
        <w:rPr>
          <w:sz w:val="28"/>
          <w:szCs w:val="28"/>
        </w:rPr>
        <w:t xml:space="preserve">N.C. </w:t>
      </w:r>
      <w:r w:rsidR="0069474B" w:rsidRPr="0039492E">
        <w:rPr>
          <w:sz w:val="28"/>
          <w:szCs w:val="28"/>
        </w:rPr>
        <w:t>Gen. Stat.</w:t>
      </w:r>
      <w:r w:rsidR="00BF51C1">
        <w:rPr>
          <w:sz w:val="28"/>
          <w:szCs w:val="28"/>
        </w:rPr>
        <w:t xml:space="preserve"> §</w:t>
      </w:r>
      <w:r w:rsidR="0069474B" w:rsidRPr="0039492E">
        <w:rPr>
          <w:sz w:val="28"/>
          <w:szCs w:val="28"/>
        </w:rPr>
        <w:t xml:space="preserve"> 15A-974. </w:t>
      </w:r>
      <w:r w:rsidR="00345C32" w:rsidRPr="0039492E">
        <w:rPr>
          <w:sz w:val="28"/>
          <w:szCs w:val="28"/>
        </w:rPr>
        <w:t xml:space="preserve">In support of this motion, the defendant shows unto the Court as follows: </w:t>
      </w:r>
    </w:p>
    <w:p w14:paraId="3DAED227" w14:textId="77777777" w:rsidR="00B713D7" w:rsidRPr="0039492E" w:rsidRDefault="00B713D7" w:rsidP="000815B2">
      <w:pPr>
        <w:jc w:val="both"/>
        <w:rPr>
          <w:sz w:val="28"/>
          <w:szCs w:val="28"/>
        </w:rPr>
      </w:pPr>
    </w:p>
    <w:p w14:paraId="623D6C5A" w14:textId="76C1043F" w:rsidR="008474E6" w:rsidRDefault="00AB70A4" w:rsidP="00AB70A4">
      <w:pPr>
        <w:jc w:val="center"/>
        <w:rPr>
          <w:b/>
          <w:sz w:val="28"/>
          <w:szCs w:val="28"/>
        </w:rPr>
      </w:pPr>
      <w:r>
        <w:rPr>
          <w:b/>
          <w:sz w:val="28"/>
          <w:szCs w:val="28"/>
        </w:rPr>
        <w:t>Relevant Facts</w:t>
      </w:r>
    </w:p>
    <w:p w14:paraId="65CCDC2C" w14:textId="77777777" w:rsidR="00B713D7" w:rsidRDefault="00B713D7" w:rsidP="00AB70A4">
      <w:pPr>
        <w:jc w:val="center"/>
        <w:rPr>
          <w:b/>
          <w:sz w:val="28"/>
          <w:szCs w:val="28"/>
        </w:rPr>
      </w:pPr>
    </w:p>
    <w:p w14:paraId="717D6D79" w14:textId="77777777" w:rsidR="000815B2" w:rsidRDefault="000815B2" w:rsidP="00874E90">
      <w:pPr>
        <w:jc w:val="both"/>
        <w:rPr>
          <w:sz w:val="28"/>
          <w:szCs w:val="28"/>
        </w:rPr>
      </w:pPr>
      <w:r>
        <w:rPr>
          <w:sz w:val="28"/>
          <w:szCs w:val="28"/>
        </w:rPr>
        <w:t>On November 22, 2013, at approximately 5:30 in the morning, a “6’ tall black male, in his 20-30’s with shoulder length long braids (pulled back), who was around 225 lbs”</w:t>
      </w:r>
      <w:r>
        <w:rPr>
          <w:rStyle w:val="FootnoteReference"/>
          <w:sz w:val="28"/>
          <w:szCs w:val="28"/>
        </w:rPr>
        <w:footnoteReference w:id="1"/>
      </w:r>
      <w:r>
        <w:rPr>
          <w:sz w:val="28"/>
          <w:szCs w:val="28"/>
        </w:rPr>
        <w:t xml:space="preserve"> broke into a trailer located on 69 Hickory Nut Ct. The man shouted, “Sheriff’s Department, get on the ground.” He was wearing a sweatshirt that said, “Sheriff’s Department” and holding a rifle. The man ordered Marjorie and Andy Giles to get on the ground. Mr. Giles moved toward the man. The man</w:t>
      </w:r>
      <w:r w:rsidRPr="006A6C07">
        <w:rPr>
          <w:sz w:val="28"/>
          <w:szCs w:val="28"/>
        </w:rPr>
        <w:t xml:space="preserve"> shot Mr. Giles.</w:t>
      </w:r>
      <w:r>
        <w:rPr>
          <w:sz w:val="28"/>
          <w:szCs w:val="28"/>
        </w:rPr>
        <w:t xml:space="preserve"> The man asked where “the money” was, and Mrs. Giles showed him the money. The man then ordered Mrs. Giles to lay down and he zip tied her feet together. Mr. Giles died from his injuries. </w:t>
      </w:r>
    </w:p>
    <w:p w14:paraId="0B87BDEE" w14:textId="77777777" w:rsidR="00B713D7" w:rsidRDefault="00B713D7" w:rsidP="00874E90">
      <w:pPr>
        <w:jc w:val="both"/>
        <w:rPr>
          <w:sz w:val="28"/>
          <w:szCs w:val="28"/>
        </w:rPr>
      </w:pPr>
    </w:p>
    <w:p w14:paraId="73DDC113" w14:textId="59EA45E1" w:rsidR="000815B2" w:rsidRDefault="000815B2" w:rsidP="00874E90">
      <w:pPr>
        <w:jc w:val="both"/>
        <w:rPr>
          <w:sz w:val="28"/>
          <w:szCs w:val="28"/>
        </w:rPr>
      </w:pPr>
      <w:r>
        <w:rPr>
          <w:sz w:val="28"/>
          <w:szCs w:val="28"/>
        </w:rPr>
        <w:t>Mrs. Giles called 911 on her daughter’s cell phone at 5:48am. Officers from the Lee County Sheriff’s Office (LCSO) responded to the scene. They took the statements of Mrs. Giles and her two teenaged children, who had also been present.</w:t>
      </w:r>
    </w:p>
    <w:p w14:paraId="712B712B" w14:textId="77777777" w:rsidR="00B713D7" w:rsidRDefault="00B713D7" w:rsidP="00874E90">
      <w:pPr>
        <w:jc w:val="both"/>
        <w:rPr>
          <w:sz w:val="28"/>
          <w:szCs w:val="28"/>
        </w:rPr>
      </w:pPr>
    </w:p>
    <w:p w14:paraId="1D44FB80" w14:textId="718E0A3B" w:rsidR="000815B2" w:rsidRDefault="000815B2" w:rsidP="00874E90">
      <w:pPr>
        <w:jc w:val="both"/>
        <w:rPr>
          <w:sz w:val="28"/>
          <w:szCs w:val="28"/>
        </w:rPr>
      </w:pPr>
      <w:r>
        <w:rPr>
          <w:sz w:val="28"/>
          <w:szCs w:val="28"/>
        </w:rPr>
        <w:t xml:space="preserve">Mrs. Giles reported that the man in the house had spoken to someone on a cell phone while he was there. As a result of this information, Detective Ellerby got a court order on 22 November 2013, compelling “any and all electronic communications providers” to provide “any and all transactional records pertaining to cellular </w:t>
      </w:r>
      <w:r>
        <w:rPr>
          <w:sz w:val="28"/>
          <w:szCs w:val="28"/>
        </w:rPr>
        <w:lastRenderedPageBreak/>
        <w:t xml:space="preserve">telephone calls, SMS texts, evolution data optimized (EVDO) information, per call measurement data (PCMD) and direct connect information, received by or transmitted from cellular towers… that may provide service to the area in and around 69 Hickory Nut Court, Sanford, N.C.” These types of records are commonly referred to as “tower dumps.” </w:t>
      </w:r>
    </w:p>
    <w:p w14:paraId="0C526707" w14:textId="77777777" w:rsidR="00B713D7" w:rsidRDefault="00B713D7" w:rsidP="00874E90">
      <w:pPr>
        <w:jc w:val="both"/>
        <w:rPr>
          <w:sz w:val="28"/>
          <w:szCs w:val="28"/>
        </w:rPr>
      </w:pPr>
    </w:p>
    <w:p w14:paraId="7A71323E" w14:textId="619C1878" w:rsidR="000815B2" w:rsidRDefault="000815B2" w:rsidP="00874E90">
      <w:pPr>
        <w:jc w:val="both"/>
        <w:rPr>
          <w:sz w:val="28"/>
          <w:szCs w:val="28"/>
        </w:rPr>
      </w:pPr>
      <w:r>
        <w:rPr>
          <w:sz w:val="28"/>
          <w:szCs w:val="28"/>
        </w:rPr>
        <w:t>The stated time frame for the requested records was 5:00pm to 6:00am on 22 November 2013. Detective Ellerby initially sent a cell provider a letter explaining he had intended for the order to read 5:00am to 6:00am, but later, on 5 December 2013, he got a second order with identical language</w:t>
      </w:r>
      <w:r w:rsidR="00BF51C1">
        <w:rPr>
          <w:sz w:val="28"/>
          <w:szCs w:val="28"/>
        </w:rPr>
        <w:t>. The only difference was the</w:t>
      </w:r>
      <w:r>
        <w:rPr>
          <w:sz w:val="28"/>
          <w:szCs w:val="28"/>
        </w:rPr>
        <w:t xml:space="preserve"> corrected timeframe. </w:t>
      </w:r>
    </w:p>
    <w:p w14:paraId="58832B5F" w14:textId="77777777" w:rsidR="00B713D7" w:rsidRDefault="00B713D7" w:rsidP="00874E90">
      <w:pPr>
        <w:jc w:val="both"/>
        <w:rPr>
          <w:sz w:val="28"/>
          <w:szCs w:val="28"/>
        </w:rPr>
      </w:pPr>
    </w:p>
    <w:p w14:paraId="63A15F12" w14:textId="36B23818" w:rsidR="000815B2" w:rsidRDefault="000815B2" w:rsidP="00874E90">
      <w:pPr>
        <w:jc w:val="both"/>
        <w:rPr>
          <w:sz w:val="28"/>
          <w:szCs w:val="28"/>
        </w:rPr>
      </w:pPr>
      <w:r>
        <w:rPr>
          <w:sz w:val="28"/>
          <w:szCs w:val="28"/>
        </w:rPr>
        <w:t>It is unclear from the provided records which order each cell service provider was responding to, but five different cell providers responded: AT&amp;T, Sprint, T-</w:t>
      </w:r>
      <w:r w:rsidR="00C2097F">
        <w:rPr>
          <w:sz w:val="28"/>
          <w:szCs w:val="28"/>
        </w:rPr>
        <w:t>Mobile</w:t>
      </w:r>
      <w:r>
        <w:rPr>
          <w:sz w:val="28"/>
          <w:szCs w:val="28"/>
        </w:rPr>
        <w:t xml:space="preserve">, U.S. Cellular, and Verizon. Verizon and Sprint each provided records for three separate towers, for a total of nine dumped towers near the crime scene. U.S. Cellular provided records for the entire 24-hour period on 22 November 2013, for a total of 5,764 entries on the spreadsheet. Only 22 entries related to the intended timeframe. </w:t>
      </w:r>
    </w:p>
    <w:p w14:paraId="40C91AC4" w14:textId="1B7D809A" w:rsidR="000815B2" w:rsidRDefault="000815B2" w:rsidP="00874E90">
      <w:pPr>
        <w:jc w:val="both"/>
        <w:rPr>
          <w:sz w:val="28"/>
          <w:szCs w:val="28"/>
        </w:rPr>
      </w:pPr>
      <w:r>
        <w:rPr>
          <w:sz w:val="28"/>
          <w:szCs w:val="28"/>
        </w:rPr>
        <w:t>In these</w:t>
      </w:r>
      <w:r w:rsidR="00BF51C1">
        <w:rPr>
          <w:sz w:val="28"/>
          <w:szCs w:val="28"/>
        </w:rPr>
        <w:t xml:space="preserve"> various tower dump</w:t>
      </w:r>
      <w:r>
        <w:rPr>
          <w:sz w:val="28"/>
          <w:szCs w:val="28"/>
        </w:rPr>
        <w:t xml:space="preserve"> records, police found evidence that a phone number associated with Phillip Fortune and different number associated with Franklin Dorsett “pinged” off towers near the crime scene. Around the same time, a witness named LaQuisha Shaw was providing information that Fortune, Dorsett, Travis McLean, Wilbur Bruton, Jessica McCoy, and Akil McAdin were involved in the robbery. These six individuals were arrested and charged in this case. </w:t>
      </w:r>
    </w:p>
    <w:p w14:paraId="64D9E4E4" w14:textId="77777777" w:rsidR="00B713D7" w:rsidRDefault="00B713D7" w:rsidP="00874E90">
      <w:pPr>
        <w:jc w:val="both"/>
        <w:rPr>
          <w:sz w:val="28"/>
          <w:szCs w:val="28"/>
        </w:rPr>
      </w:pPr>
    </w:p>
    <w:p w14:paraId="7C3A1C69" w14:textId="03DB0634" w:rsidR="000815B2" w:rsidRDefault="000815B2" w:rsidP="00874E90">
      <w:pPr>
        <w:jc w:val="both"/>
        <w:rPr>
          <w:sz w:val="28"/>
          <w:szCs w:val="28"/>
        </w:rPr>
      </w:pPr>
      <w:r>
        <w:rPr>
          <w:sz w:val="28"/>
          <w:szCs w:val="28"/>
        </w:rPr>
        <w:t>In November of 2014, Brittany Chiavaro spoke to police. She said that her boyfriend, Harley Chavis, had told her he was involved in the robbery. She claimed Chavis had confessed to her and said that Derek Strickland, CJ Mintz, and “Genesis” were also involved. She claimed the robbery was planned at the house of a man named Johnathan Oakley. Johnathan Oakley was</w:t>
      </w:r>
      <w:r w:rsidR="00BF51C1">
        <w:rPr>
          <w:sz w:val="28"/>
          <w:szCs w:val="28"/>
        </w:rPr>
        <w:t>,</w:t>
      </w:r>
      <w:r>
        <w:rPr>
          <w:sz w:val="28"/>
          <w:szCs w:val="28"/>
        </w:rPr>
        <w:t xml:space="preserve"> at one </w:t>
      </w:r>
      <w:r w:rsidR="00BF51C1">
        <w:rPr>
          <w:sz w:val="28"/>
          <w:szCs w:val="28"/>
        </w:rPr>
        <w:t>time,</w:t>
      </w:r>
      <w:r>
        <w:rPr>
          <w:sz w:val="28"/>
          <w:szCs w:val="28"/>
        </w:rPr>
        <w:t xml:space="preserve"> the neighbor of Emmanuel Sanders. Police developed a theory that “Genesis” was Emmanuel Sanders.</w:t>
      </w:r>
    </w:p>
    <w:p w14:paraId="5C201CBF" w14:textId="77777777" w:rsidR="00B713D7" w:rsidRDefault="00B713D7" w:rsidP="00874E90">
      <w:pPr>
        <w:jc w:val="both"/>
        <w:rPr>
          <w:sz w:val="28"/>
          <w:szCs w:val="28"/>
        </w:rPr>
      </w:pPr>
    </w:p>
    <w:p w14:paraId="5C60EF64" w14:textId="6AA709A3" w:rsidR="000815B2" w:rsidRDefault="000815B2" w:rsidP="00874E90">
      <w:pPr>
        <w:jc w:val="both"/>
        <w:rPr>
          <w:sz w:val="28"/>
          <w:szCs w:val="28"/>
        </w:rPr>
      </w:pPr>
      <w:r>
        <w:rPr>
          <w:sz w:val="28"/>
          <w:szCs w:val="28"/>
        </w:rPr>
        <w:t>Phone numbers associated with Strickland and Chavis were located within the tower dump records previously obtained. There were also several calls to 919-</w:t>
      </w:r>
      <w:r w:rsidR="00AA13BD">
        <w:rPr>
          <w:sz w:val="28"/>
          <w:szCs w:val="28"/>
        </w:rPr>
        <w:t>XXX</w:t>
      </w:r>
      <w:r>
        <w:rPr>
          <w:sz w:val="28"/>
          <w:szCs w:val="28"/>
        </w:rPr>
        <w:t>-</w:t>
      </w:r>
      <w:r w:rsidR="00AA13BD">
        <w:rPr>
          <w:sz w:val="28"/>
          <w:szCs w:val="28"/>
        </w:rPr>
        <w:t>XXXX</w:t>
      </w:r>
      <w:r>
        <w:rPr>
          <w:sz w:val="28"/>
          <w:szCs w:val="28"/>
        </w:rPr>
        <w:t xml:space="preserve">, </w:t>
      </w:r>
      <w:r w:rsidR="00BF51C1">
        <w:rPr>
          <w:sz w:val="28"/>
          <w:szCs w:val="28"/>
        </w:rPr>
        <w:t xml:space="preserve">in </w:t>
      </w:r>
      <w:r>
        <w:rPr>
          <w:sz w:val="28"/>
          <w:szCs w:val="28"/>
        </w:rPr>
        <w:t xml:space="preserve">those tower dump records. </w:t>
      </w:r>
      <w:r w:rsidR="00BF51C1">
        <w:rPr>
          <w:sz w:val="28"/>
          <w:szCs w:val="28"/>
        </w:rPr>
        <w:t xml:space="preserve">This number was registered to Johnathan Oakley. </w:t>
      </w:r>
    </w:p>
    <w:p w14:paraId="0FCA8A90" w14:textId="77777777" w:rsidR="00B713D7" w:rsidRDefault="00B713D7" w:rsidP="00874E90">
      <w:pPr>
        <w:jc w:val="both"/>
        <w:rPr>
          <w:sz w:val="28"/>
          <w:szCs w:val="28"/>
        </w:rPr>
      </w:pPr>
    </w:p>
    <w:p w14:paraId="0DCCA3ED" w14:textId="683277A6" w:rsidR="000815B2" w:rsidRDefault="000815B2" w:rsidP="00874E90">
      <w:pPr>
        <w:jc w:val="both"/>
        <w:rPr>
          <w:sz w:val="28"/>
          <w:szCs w:val="28"/>
        </w:rPr>
      </w:pPr>
      <w:r>
        <w:rPr>
          <w:sz w:val="28"/>
          <w:szCs w:val="28"/>
        </w:rPr>
        <w:t xml:space="preserve">Chavis, Mintz, Strickland, and Mr. Sanders were all arrested and charged with these crimes.  The original six co-defendants’ charges were dismissed approximately two months later. </w:t>
      </w:r>
    </w:p>
    <w:p w14:paraId="73250420" w14:textId="77777777" w:rsidR="00B713D7" w:rsidRDefault="00B713D7" w:rsidP="00874E90">
      <w:pPr>
        <w:jc w:val="both"/>
        <w:rPr>
          <w:sz w:val="28"/>
          <w:szCs w:val="28"/>
        </w:rPr>
      </w:pPr>
    </w:p>
    <w:p w14:paraId="7EC49FFA" w14:textId="25EE41EE" w:rsidR="00337612" w:rsidRDefault="000815B2" w:rsidP="00874E90">
      <w:pPr>
        <w:jc w:val="both"/>
        <w:rPr>
          <w:sz w:val="28"/>
          <w:szCs w:val="28"/>
        </w:rPr>
      </w:pPr>
      <w:r>
        <w:rPr>
          <w:sz w:val="28"/>
          <w:szCs w:val="28"/>
        </w:rPr>
        <w:t>On 21 August 2018, Johnathan Oakley met with Investigator Holly and ADAs Mike Beam and Chris Autry. At that time, he “added” to his previous statement that 919-</w:t>
      </w:r>
      <w:r w:rsidR="00AA13BD" w:rsidRPr="00AA13BD">
        <w:rPr>
          <w:sz w:val="28"/>
          <w:szCs w:val="28"/>
        </w:rPr>
        <w:t xml:space="preserve"> </w:t>
      </w:r>
      <w:r w:rsidR="00AA13BD">
        <w:rPr>
          <w:sz w:val="28"/>
          <w:szCs w:val="28"/>
        </w:rPr>
        <w:t>XXX-XXXX</w:t>
      </w:r>
      <w:r w:rsidR="00AA13BD">
        <w:rPr>
          <w:sz w:val="28"/>
          <w:szCs w:val="28"/>
        </w:rPr>
        <w:t xml:space="preserve"> </w:t>
      </w:r>
      <w:r>
        <w:rPr>
          <w:sz w:val="28"/>
          <w:szCs w:val="28"/>
        </w:rPr>
        <w:t xml:space="preserve">was a phone number that belonged to Mr. Sanders and that Mr. Sanders asked him to add it to his phone plan. This information was </w:t>
      </w:r>
      <w:r w:rsidR="00BF51C1">
        <w:rPr>
          <w:sz w:val="28"/>
          <w:szCs w:val="28"/>
        </w:rPr>
        <w:t xml:space="preserve">provided in discovery </w:t>
      </w:r>
      <w:r>
        <w:rPr>
          <w:sz w:val="28"/>
          <w:szCs w:val="28"/>
        </w:rPr>
        <w:t xml:space="preserve">to the defendant on 29 August 2018. There is no other information contained in discovery in which this phone number is described as belonging or being associated with Mr. Sanders. </w:t>
      </w:r>
    </w:p>
    <w:p w14:paraId="75ABE7E7" w14:textId="6C58329D" w:rsidR="00B713D7" w:rsidRPr="008D6A95" w:rsidRDefault="00B713D7" w:rsidP="00874E90">
      <w:pPr>
        <w:jc w:val="both"/>
        <w:rPr>
          <w:sz w:val="28"/>
          <w:szCs w:val="28"/>
        </w:rPr>
      </w:pPr>
    </w:p>
    <w:p w14:paraId="055019FD" w14:textId="0E6DE73D" w:rsidR="00B713D7" w:rsidRDefault="00274675" w:rsidP="00B713D7">
      <w:pPr>
        <w:jc w:val="center"/>
        <w:rPr>
          <w:b/>
          <w:sz w:val="28"/>
          <w:szCs w:val="28"/>
        </w:rPr>
      </w:pPr>
      <w:r>
        <w:rPr>
          <w:b/>
          <w:sz w:val="28"/>
          <w:szCs w:val="28"/>
        </w:rPr>
        <w:t xml:space="preserve">Additional </w:t>
      </w:r>
      <w:r w:rsidR="00B713D7">
        <w:rPr>
          <w:b/>
          <w:sz w:val="28"/>
          <w:szCs w:val="28"/>
        </w:rPr>
        <w:t>B</w:t>
      </w:r>
      <w:r w:rsidR="00CF2B0B" w:rsidRPr="008D6A95">
        <w:rPr>
          <w:b/>
          <w:sz w:val="28"/>
          <w:szCs w:val="28"/>
        </w:rPr>
        <w:t>ackground</w:t>
      </w:r>
    </w:p>
    <w:p w14:paraId="397A4A5B" w14:textId="77777777" w:rsidR="00B713D7" w:rsidRDefault="00B713D7" w:rsidP="00B713D7">
      <w:pPr>
        <w:jc w:val="center"/>
        <w:rPr>
          <w:b/>
          <w:sz w:val="28"/>
          <w:szCs w:val="28"/>
        </w:rPr>
      </w:pPr>
    </w:p>
    <w:p w14:paraId="39E94A9D" w14:textId="5F9F8221" w:rsidR="00EA7C28" w:rsidRDefault="00CF2B0B" w:rsidP="00874E90">
      <w:pPr>
        <w:autoSpaceDE w:val="0"/>
        <w:autoSpaceDN w:val="0"/>
        <w:adjustRightInd w:val="0"/>
        <w:spacing w:afterLines="160" w:after="384"/>
        <w:jc w:val="both"/>
        <w:rPr>
          <w:sz w:val="28"/>
          <w:szCs w:val="28"/>
        </w:rPr>
      </w:pPr>
      <w:r w:rsidRPr="008D6A95">
        <w:rPr>
          <w:sz w:val="28"/>
          <w:szCs w:val="28"/>
        </w:rPr>
        <w:t xml:space="preserve">Cell </w:t>
      </w:r>
      <w:r w:rsidR="008D6A95" w:rsidRPr="008D6A95">
        <w:rPr>
          <w:sz w:val="28"/>
          <w:szCs w:val="28"/>
        </w:rPr>
        <w:t>phone use has become ubiquitous: T</w:t>
      </w:r>
      <w:r w:rsidRPr="008D6A95">
        <w:rPr>
          <w:sz w:val="28"/>
          <w:szCs w:val="28"/>
        </w:rPr>
        <w:t>he number of wireless accounts now exceeds the total population</w:t>
      </w:r>
      <w:r w:rsidR="005570DF" w:rsidRPr="008D6A95">
        <w:rPr>
          <w:sz w:val="28"/>
          <w:szCs w:val="28"/>
        </w:rPr>
        <w:t xml:space="preserve"> of the United States</w:t>
      </w:r>
      <w:r w:rsidR="008D6A95" w:rsidRPr="008D6A95">
        <w:rPr>
          <w:sz w:val="28"/>
          <w:szCs w:val="28"/>
        </w:rPr>
        <w:t>;</w:t>
      </w:r>
      <w:r w:rsidR="005570DF" w:rsidRPr="008D6A95">
        <w:rPr>
          <w:rStyle w:val="FootnoteReference"/>
          <w:sz w:val="28"/>
          <w:szCs w:val="28"/>
        </w:rPr>
        <w:footnoteReference w:id="2"/>
      </w:r>
      <w:r w:rsidR="005570DF" w:rsidRPr="008D6A95">
        <w:rPr>
          <w:sz w:val="28"/>
          <w:szCs w:val="28"/>
        </w:rPr>
        <w:t xml:space="preserve"> at least 95</w:t>
      </w:r>
      <w:r w:rsidRPr="008D6A95">
        <w:rPr>
          <w:sz w:val="28"/>
          <w:szCs w:val="28"/>
        </w:rPr>
        <w:t xml:space="preserve">% of </w:t>
      </w:r>
      <w:r w:rsidR="008D6A95">
        <w:rPr>
          <w:sz w:val="28"/>
          <w:szCs w:val="28"/>
        </w:rPr>
        <w:t xml:space="preserve">all </w:t>
      </w:r>
      <w:r w:rsidRPr="008D6A95">
        <w:rPr>
          <w:sz w:val="28"/>
          <w:szCs w:val="28"/>
        </w:rPr>
        <w:t>American adults own cell</w:t>
      </w:r>
      <w:r w:rsidR="005570DF" w:rsidRPr="008D6A95">
        <w:rPr>
          <w:sz w:val="28"/>
          <w:szCs w:val="28"/>
        </w:rPr>
        <w:t xml:space="preserve"> </w:t>
      </w:r>
      <w:r w:rsidR="008D6A95" w:rsidRPr="008D6A95">
        <w:rPr>
          <w:sz w:val="28"/>
          <w:szCs w:val="28"/>
        </w:rPr>
        <w:t>phones;</w:t>
      </w:r>
      <w:r w:rsidR="005570DF" w:rsidRPr="008D6A95">
        <w:rPr>
          <w:sz w:val="28"/>
          <w:szCs w:val="28"/>
        </w:rPr>
        <w:t xml:space="preserve"> and most carry their phone with them everywhere they go.</w:t>
      </w:r>
      <w:r w:rsidR="005570DF" w:rsidRPr="008D6A95">
        <w:rPr>
          <w:rStyle w:val="FootnoteReference"/>
          <w:sz w:val="28"/>
          <w:szCs w:val="28"/>
        </w:rPr>
        <w:footnoteReference w:id="3"/>
      </w:r>
      <w:r w:rsidR="005570DF" w:rsidRPr="008D6A95">
        <w:rPr>
          <w:sz w:val="28"/>
          <w:szCs w:val="28"/>
        </w:rPr>
        <w:t xml:space="preserve"> </w:t>
      </w:r>
      <w:r w:rsidR="008D6A95" w:rsidRPr="008D6A95">
        <w:rPr>
          <w:sz w:val="28"/>
          <w:szCs w:val="28"/>
        </w:rPr>
        <w:t xml:space="preserve">Indeed, as the Supreme Court explained in </w:t>
      </w:r>
      <w:r w:rsidR="008D6A95" w:rsidRPr="008D6A95">
        <w:rPr>
          <w:i/>
          <w:sz w:val="28"/>
          <w:szCs w:val="28"/>
        </w:rPr>
        <w:t>Riley v. California</w:t>
      </w:r>
      <w:r w:rsidR="008D6A95" w:rsidRPr="008D6A95">
        <w:rPr>
          <w:sz w:val="28"/>
          <w:szCs w:val="28"/>
        </w:rPr>
        <w:t xml:space="preserve">, cell phones have become “such a pervasive and insistent part of daily life that the proverbial visitor from Mars might conclude they were an important feature of human anatomy. 134 S. Ct. 2473, 2484 (2014). </w:t>
      </w:r>
    </w:p>
    <w:p w14:paraId="43717FB8" w14:textId="474BA1F3" w:rsidR="004D1F6E" w:rsidRDefault="00EA7C28" w:rsidP="00874E90">
      <w:pPr>
        <w:autoSpaceDE w:val="0"/>
        <w:autoSpaceDN w:val="0"/>
        <w:adjustRightInd w:val="0"/>
        <w:spacing w:afterLines="160" w:after="384"/>
        <w:jc w:val="both"/>
        <w:rPr>
          <w:sz w:val="28"/>
          <w:szCs w:val="28"/>
        </w:rPr>
      </w:pPr>
      <w:r>
        <w:rPr>
          <w:sz w:val="28"/>
          <w:szCs w:val="28"/>
        </w:rPr>
        <w:t>Cell phone send and receive radio signals via base stations, known as cell towers. Towers typically have multiple cell “sites” facing in three or four different directions, each containing antennae that detect and connect cell phones to the cellular network.</w:t>
      </w:r>
      <w:r>
        <w:rPr>
          <w:rStyle w:val="FootnoteReference"/>
          <w:sz w:val="28"/>
          <w:szCs w:val="28"/>
        </w:rPr>
        <w:footnoteReference w:id="4"/>
      </w:r>
      <w:r>
        <w:rPr>
          <w:sz w:val="28"/>
          <w:szCs w:val="28"/>
        </w:rPr>
        <w:t xml:space="preserve"> Cell phones automatically try to connect to the nearest or strongest base station and, as users move father away from one base station and closer to another, their phone automatically transfer the connection to a new base station.</w:t>
      </w:r>
      <w:r w:rsidR="004D1F6E">
        <w:rPr>
          <w:rStyle w:val="FootnoteReference"/>
          <w:sz w:val="28"/>
          <w:szCs w:val="28"/>
        </w:rPr>
        <w:footnoteReference w:id="5"/>
      </w:r>
    </w:p>
    <w:p w14:paraId="0A9CF7D8" w14:textId="73B206C5" w:rsidR="00A36500" w:rsidRPr="00FD7D98" w:rsidRDefault="004D1F6E" w:rsidP="00874E90">
      <w:pPr>
        <w:spacing w:afterLines="160" w:after="384"/>
        <w:jc w:val="both"/>
        <w:rPr>
          <w:sz w:val="28"/>
          <w:szCs w:val="28"/>
        </w:rPr>
      </w:pPr>
      <w:r>
        <w:rPr>
          <w:sz w:val="28"/>
          <w:szCs w:val="28"/>
        </w:rPr>
        <w:lastRenderedPageBreak/>
        <w:t xml:space="preserve">As cell phone use has increased, service providers have installed more cell sites to handle the demand. There are </w:t>
      </w:r>
      <w:r w:rsidR="001B72CA">
        <w:rPr>
          <w:sz w:val="28"/>
          <w:szCs w:val="28"/>
        </w:rPr>
        <w:t>more than</w:t>
      </w:r>
      <w:r>
        <w:rPr>
          <w:sz w:val="28"/>
          <w:szCs w:val="28"/>
        </w:rPr>
        <w:t xml:space="preserve"> 300,000 cell sites in the United States,</w:t>
      </w:r>
      <w:r>
        <w:rPr>
          <w:rStyle w:val="FootnoteReference"/>
          <w:sz w:val="28"/>
          <w:szCs w:val="28"/>
        </w:rPr>
        <w:footnoteReference w:id="6"/>
      </w:r>
      <w:r>
        <w:rPr>
          <w:sz w:val="28"/>
          <w:szCs w:val="28"/>
        </w:rPr>
        <w:t xml:space="preserve"> </w:t>
      </w:r>
      <w:r w:rsidR="001B72CA">
        <w:rPr>
          <w:sz w:val="28"/>
          <w:szCs w:val="28"/>
        </w:rPr>
        <w:t>plus</w:t>
      </w:r>
      <w:r>
        <w:rPr>
          <w:sz w:val="28"/>
          <w:szCs w:val="28"/>
        </w:rPr>
        <w:t xml:space="preserve"> many more antennae constantly communicating with all phones in range.</w:t>
      </w:r>
      <w:r>
        <w:rPr>
          <w:rStyle w:val="FootnoteReference"/>
          <w:sz w:val="28"/>
          <w:szCs w:val="28"/>
        </w:rPr>
        <w:footnoteReference w:id="7"/>
      </w:r>
      <w:r w:rsidR="00835774">
        <w:rPr>
          <w:sz w:val="28"/>
          <w:szCs w:val="28"/>
        </w:rPr>
        <w:t xml:space="preserve"> </w:t>
      </w:r>
      <w:r w:rsidR="001B72CA">
        <w:rPr>
          <w:sz w:val="28"/>
          <w:szCs w:val="28"/>
        </w:rPr>
        <w:t>Traditional cell p</w:t>
      </w:r>
      <w:r w:rsidR="00835774" w:rsidRPr="00835774">
        <w:rPr>
          <w:sz w:val="28"/>
          <w:szCs w:val="28"/>
        </w:rPr>
        <w:t>hones communicate with the</w:t>
      </w:r>
      <w:r w:rsidR="00835774">
        <w:rPr>
          <w:sz w:val="28"/>
          <w:szCs w:val="28"/>
        </w:rPr>
        <w:t xml:space="preserve"> </w:t>
      </w:r>
      <w:r w:rsidR="00835774" w:rsidRPr="00835774">
        <w:rPr>
          <w:sz w:val="28"/>
          <w:szCs w:val="28"/>
        </w:rPr>
        <w:t xml:space="preserve">wireless network through cell sites when </w:t>
      </w:r>
      <w:r w:rsidR="001B72CA">
        <w:rPr>
          <w:sz w:val="28"/>
          <w:szCs w:val="28"/>
        </w:rPr>
        <w:t>using the phone or text messaging functions</w:t>
      </w:r>
      <w:r w:rsidR="00835774" w:rsidRPr="00C84AF9">
        <w:rPr>
          <w:sz w:val="28"/>
          <w:szCs w:val="28"/>
        </w:rPr>
        <w:t xml:space="preserve">. </w:t>
      </w:r>
      <w:r w:rsidR="001B72CA">
        <w:rPr>
          <w:sz w:val="28"/>
          <w:szCs w:val="28"/>
        </w:rPr>
        <w:t>But s</w:t>
      </w:r>
      <w:r w:rsidR="00835774" w:rsidRPr="00C84AF9">
        <w:rPr>
          <w:sz w:val="28"/>
          <w:szCs w:val="28"/>
        </w:rPr>
        <w:t>martphones, used by 77% of Americans,</w:t>
      </w:r>
      <w:r w:rsidR="00835774" w:rsidRPr="00C84AF9">
        <w:rPr>
          <w:rStyle w:val="FootnoteReference"/>
          <w:sz w:val="28"/>
          <w:szCs w:val="28"/>
        </w:rPr>
        <w:footnoteReference w:id="8"/>
      </w:r>
      <w:r w:rsidR="00835774" w:rsidRPr="00C84AF9">
        <w:rPr>
          <w:sz w:val="28"/>
          <w:szCs w:val="28"/>
        </w:rPr>
        <w:t xml:space="preserve"> c</w:t>
      </w:r>
      <w:r w:rsidR="001B72CA">
        <w:rPr>
          <w:sz w:val="28"/>
          <w:szCs w:val="28"/>
        </w:rPr>
        <w:t>ommunicate even more frequently. T</w:t>
      </w:r>
      <w:r w:rsidR="00835774" w:rsidRPr="00C84AF9">
        <w:rPr>
          <w:sz w:val="28"/>
          <w:szCs w:val="28"/>
        </w:rPr>
        <w:t xml:space="preserve">hey regularly check for </w:t>
      </w:r>
      <w:r w:rsidR="0098018B" w:rsidRPr="00C84AF9">
        <w:rPr>
          <w:sz w:val="28"/>
          <w:szCs w:val="28"/>
        </w:rPr>
        <w:t>new emails</w:t>
      </w:r>
      <w:r w:rsidR="0065635D" w:rsidRPr="00C84AF9">
        <w:rPr>
          <w:sz w:val="28"/>
          <w:szCs w:val="28"/>
        </w:rPr>
        <w:t xml:space="preserve"> </w:t>
      </w:r>
      <w:r w:rsidR="00835774" w:rsidRPr="00C84AF9">
        <w:rPr>
          <w:sz w:val="28"/>
          <w:szCs w:val="28"/>
        </w:rPr>
        <w:t>and maintain a persistent Internet connection with the provider of the operating system, such as Google or Apple.</w:t>
      </w:r>
      <w:r w:rsidR="00835774" w:rsidRPr="00C84AF9">
        <w:rPr>
          <w:rStyle w:val="FootnoteReference"/>
          <w:sz w:val="28"/>
          <w:szCs w:val="28"/>
        </w:rPr>
        <w:footnoteReference w:id="9"/>
      </w:r>
      <w:r w:rsidR="0098018B" w:rsidRPr="00C84AF9">
        <w:rPr>
          <w:sz w:val="28"/>
          <w:szCs w:val="28"/>
        </w:rPr>
        <w:t xml:space="preserve"> </w:t>
      </w:r>
      <w:r w:rsidR="001B72CA">
        <w:rPr>
          <w:sz w:val="28"/>
          <w:szCs w:val="28"/>
        </w:rPr>
        <w:t>Moreover, s</w:t>
      </w:r>
      <w:r w:rsidR="0065635D" w:rsidRPr="00C84AF9">
        <w:rPr>
          <w:sz w:val="28"/>
          <w:szCs w:val="28"/>
        </w:rPr>
        <w:t xml:space="preserve">martphone applications </w:t>
      </w:r>
      <w:r w:rsidR="001B72CA">
        <w:rPr>
          <w:sz w:val="28"/>
          <w:szCs w:val="28"/>
        </w:rPr>
        <w:t xml:space="preserve">may run </w:t>
      </w:r>
      <w:r w:rsidR="0065635D" w:rsidRPr="00C84AF9">
        <w:rPr>
          <w:sz w:val="28"/>
          <w:szCs w:val="28"/>
        </w:rPr>
        <w:t xml:space="preserve">continually in the background, </w:t>
      </w:r>
      <w:r w:rsidR="00C84AF9" w:rsidRPr="00C84AF9">
        <w:rPr>
          <w:sz w:val="28"/>
          <w:szCs w:val="28"/>
        </w:rPr>
        <w:t>connecting to cell sites</w:t>
      </w:r>
      <w:r w:rsidR="0065635D" w:rsidRPr="00C84AF9">
        <w:rPr>
          <w:sz w:val="28"/>
          <w:szCs w:val="28"/>
        </w:rPr>
        <w:t xml:space="preserve"> </w:t>
      </w:r>
      <w:r w:rsidR="0065635D" w:rsidRPr="0065635D">
        <w:rPr>
          <w:color w:val="000000"/>
          <w:sz w:val="28"/>
          <w:szCs w:val="28"/>
          <w:shd w:val="clear" w:color="auto" w:fill="FFFFFF"/>
        </w:rPr>
        <w:t>without a user interact</w:t>
      </w:r>
      <w:r w:rsidR="00C84AF9" w:rsidRPr="00C84AF9">
        <w:rPr>
          <w:color w:val="000000"/>
          <w:sz w:val="28"/>
          <w:szCs w:val="28"/>
          <w:shd w:val="clear" w:color="auto" w:fill="FFFFFF"/>
        </w:rPr>
        <w:t>ing</w:t>
      </w:r>
      <w:r w:rsidR="0065635D" w:rsidRPr="0065635D">
        <w:rPr>
          <w:color w:val="000000"/>
          <w:sz w:val="28"/>
          <w:szCs w:val="28"/>
          <w:shd w:val="clear" w:color="auto" w:fill="FFFFFF"/>
        </w:rPr>
        <w:t xml:space="preserve"> with the cell phone</w:t>
      </w:r>
      <w:r w:rsidR="00C84AF9" w:rsidRPr="00C84AF9">
        <w:rPr>
          <w:color w:val="000000"/>
          <w:sz w:val="28"/>
          <w:szCs w:val="28"/>
          <w:shd w:val="clear" w:color="auto" w:fill="FFFFFF"/>
        </w:rPr>
        <w:t xml:space="preserve"> at all</w:t>
      </w:r>
      <w:r w:rsidR="0065635D" w:rsidRPr="0065635D">
        <w:rPr>
          <w:color w:val="000000"/>
          <w:sz w:val="28"/>
          <w:szCs w:val="28"/>
          <w:shd w:val="clear" w:color="auto" w:fill="FFFFFF"/>
        </w:rPr>
        <w:t>.</w:t>
      </w:r>
      <w:r w:rsidR="00C84AF9" w:rsidRPr="00C84AF9">
        <w:rPr>
          <w:rStyle w:val="FootnoteReference"/>
          <w:color w:val="000000"/>
          <w:sz w:val="28"/>
          <w:szCs w:val="28"/>
          <w:shd w:val="clear" w:color="auto" w:fill="FFFFFF"/>
        </w:rPr>
        <w:footnoteReference w:id="10"/>
      </w:r>
      <w:r w:rsidR="00C84AF9" w:rsidRPr="00C84AF9">
        <w:rPr>
          <w:sz w:val="28"/>
          <w:szCs w:val="28"/>
        </w:rPr>
        <w:t xml:space="preserve"> </w:t>
      </w:r>
      <w:r w:rsidR="0098018B" w:rsidRPr="00C84AF9">
        <w:rPr>
          <w:sz w:val="28"/>
          <w:szCs w:val="28"/>
        </w:rPr>
        <w:t>As a result, smartphones transmit and receive vast amounts of data</w:t>
      </w:r>
      <w:r w:rsidR="00A36500" w:rsidRPr="00C84AF9">
        <w:rPr>
          <w:sz w:val="28"/>
          <w:szCs w:val="28"/>
        </w:rPr>
        <w:t xml:space="preserve"> whenever the device is on</w:t>
      </w:r>
      <w:r w:rsidR="0098018B" w:rsidRPr="00C84AF9">
        <w:rPr>
          <w:sz w:val="28"/>
          <w:szCs w:val="28"/>
        </w:rPr>
        <w:t xml:space="preserve">, communicating with the carrier’s network </w:t>
      </w:r>
      <w:r w:rsidR="00A36500" w:rsidRPr="00C84AF9">
        <w:rPr>
          <w:sz w:val="28"/>
          <w:szCs w:val="28"/>
        </w:rPr>
        <w:t>as frequently as every seven seconds.</w:t>
      </w:r>
      <w:r w:rsidR="00A36500" w:rsidRPr="00C84AF9">
        <w:rPr>
          <w:rStyle w:val="FootnoteReference"/>
          <w:sz w:val="28"/>
          <w:szCs w:val="28"/>
        </w:rPr>
        <w:footnoteReference w:id="11"/>
      </w:r>
    </w:p>
    <w:p w14:paraId="3AF05A69" w14:textId="41A055E8" w:rsidR="00337612" w:rsidRPr="000815B2" w:rsidRDefault="0098018B" w:rsidP="002F364B">
      <w:pPr>
        <w:autoSpaceDE w:val="0"/>
        <w:autoSpaceDN w:val="0"/>
        <w:adjustRightInd w:val="0"/>
        <w:jc w:val="both"/>
        <w:rPr>
          <w:sz w:val="28"/>
          <w:szCs w:val="28"/>
        </w:rPr>
      </w:pPr>
      <w:r w:rsidRPr="00C84AF9">
        <w:rPr>
          <w:sz w:val="28"/>
          <w:szCs w:val="28"/>
        </w:rPr>
        <w:t xml:space="preserve">When </w:t>
      </w:r>
      <w:r w:rsidR="0065635D" w:rsidRPr="00C84AF9">
        <w:rPr>
          <w:sz w:val="28"/>
          <w:szCs w:val="28"/>
        </w:rPr>
        <w:t xml:space="preserve">cell </w:t>
      </w:r>
      <w:r w:rsidRPr="00C84AF9">
        <w:rPr>
          <w:sz w:val="28"/>
          <w:szCs w:val="28"/>
        </w:rPr>
        <w:t xml:space="preserve">phones communicate with the network, the service provider automatically logs and retains information about such communications. </w:t>
      </w:r>
      <w:r w:rsidR="00A36500" w:rsidRPr="00C84AF9">
        <w:rPr>
          <w:sz w:val="28"/>
          <w:szCs w:val="28"/>
        </w:rPr>
        <w:t>Thus, a</w:t>
      </w:r>
      <w:r w:rsidRPr="00C84AF9">
        <w:rPr>
          <w:sz w:val="28"/>
          <w:szCs w:val="28"/>
        </w:rPr>
        <w:t xml:space="preserve"> request for information regarding all phones that communicated with multiple cell</w:t>
      </w:r>
      <w:r w:rsidR="00026E36" w:rsidRPr="00C84AF9">
        <w:rPr>
          <w:sz w:val="28"/>
          <w:szCs w:val="28"/>
        </w:rPr>
        <w:t xml:space="preserve"> s</w:t>
      </w:r>
      <w:r w:rsidR="00A36500" w:rsidRPr="00C84AF9">
        <w:rPr>
          <w:sz w:val="28"/>
          <w:szCs w:val="28"/>
        </w:rPr>
        <w:t>ites</w:t>
      </w:r>
      <w:r w:rsidR="00026E36" w:rsidRPr="00C84AF9">
        <w:rPr>
          <w:sz w:val="28"/>
          <w:szCs w:val="28"/>
        </w:rPr>
        <w:t xml:space="preserve">, such as the one in this case, </w:t>
      </w:r>
      <w:r w:rsidRPr="00C84AF9">
        <w:rPr>
          <w:sz w:val="28"/>
          <w:szCs w:val="28"/>
        </w:rPr>
        <w:t>is likely to reveal information</w:t>
      </w:r>
      <w:r w:rsidR="00A36500" w:rsidRPr="00C84AF9">
        <w:rPr>
          <w:sz w:val="28"/>
          <w:szCs w:val="28"/>
        </w:rPr>
        <w:t xml:space="preserve"> </w:t>
      </w:r>
      <w:r w:rsidRPr="00C84AF9">
        <w:rPr>
          <w:sz w:val="28"/>
          <w:szCs w:val="28"/>
        </w:rPr>
        <w:t xml:space="preserve">about a very large number of phones. </w:t>
      </w:r>
      <w:r w:rsidR="00A36500" w:rsidRPr="00C84AF9">
        <w:rPr>
          <w:sz w:val="28"/>
          <w:szCs w:val="28"/>
        </w:rPr>
        <w:t>These “tower</w:t>
      </w:r>
      <w:r w:rsidR="00A36500">
        <w:rPr>
          <w:sz w:val="28"/>
          <w:szCs w:val="28"/>
        </w:rPr>
        <w:t xml:space="preserve"> dumps,” can – </w:t>
      </w:r>
      <w:r w:rsidRPr="0098018B">
        <w:rPr>
          <w:sz w:val="28"/>
          <w:szCs w:val="28"/>
        </w:rPr>
        <w:t xml:space="preserve">and, </w:t>
      </w:r>
      <w:r w:rsidR="00A36500">
        <w:rPr>
          <w:sz w:val="28"/>
          <w:szCs w:val="28"/>
        </w:rPr>
        <w:t>in fact, consistently do</w:t>
      </w:r>
      <w:r w:rsidR="00026E36">
        <w:rPr>
          <w:sz w:val="28"/>
          <w:szCs w:val="28"/>
        </w:rPr>
        <w:t xml:space="preserve"> –</w:t>
      </w:r>
      <w:r w:rsidRPr="0098018B">
        <w:rPr>
          <w:sz w:val="28"/>
          <w:szCs w:val="28"/>
        </w:rPr>
        <w:t>involve the collection of hundreds, thousands, or even hundreds of</w:t>
      </w:r>
      <w:r w:rsidR="00026E36">
        <w:rPr>
          <w:sz w:val="28"/>
          <w:szCs w:val="28"/>
        </w:rPr>
        <w:t xml:space="preserve"> </w:t>
      </w:r>
      <w:r w:rsidR="00A36500">
        <w:rPr>
          <w:sz w:val="28"/>
          <w:szCs w:val="28"/>
        </w:rPr>
        <w:t>thousands of phone numbers.</w:t>
      </w:r>
      <w:r w:rsidR="00026E36">
        <w:rPr>
          <w:rStyle w:val="FootnoteReference"/>
          <w:sz w:val="28"/>
          <w:szCs w:val="28"/>
        </w:rPr>
        <w:footnoteReference w:id="12"/>
      </w:r>
      <w:r w:rsidRPr="0098018B">
        <w:rPr>
          <w:sz w:val="28"/>
          <w:szCs w:val="28"/>
        </w:rPr>
        <w:t xml:space="preserve"> For example, when the FBI obtained tower dump records for</w:t>
      </w:r>
      <w:r w:rsidR="00FD7D98">
        <w:rPr>
          <w:sz w:val="28"/>
          <w:szCs w:val="28"/>
        </w:rPr>
        <w:t xml:space="preserve"> </w:t>
      </w:r>
      <w:r w:rsidRPr="0098018B">
        <w:rPr>
          <w:sz w:val="28"/>
          <w:szCs w:val="28"/>
        </w:rPr>
        <w:t xml:space="preserve">several </w:t>
      </w:r>
      <w:r w:rsidRPr="0098018B">
        <w:rPr>
          <w:sz w:val="28"/>
          <w:szCs w:val="28"/>
        </w:rPr>
        <w:lastRenderedPageBreak/>
        <w:t>towers in Arizona in 2010, it received a staggering 150,000 individu</w:t>
      </w:r>
      <w:r w:rsidR="00A36500">
        <w:rPr>
          <w:sz w:val="28"/>
          <w:szCs w:val="28"/>
        </w:rPr>
        <w:t xml:space="preserve">al users’ phone </w:t>
      </w:r>
      <w:r w:rsidR="00026E36">
        <w:rPr>
          <w:sz w:val="28"/>
          <w:szCs w:val="28"/>
        </w:rPr>
        <w:t>numbers in response.</w:t>
      </w:r>
      <w:r w:rsidR="00026E36">
        <w:rPr>
          <w:rStyle w:val="FootnoteReference"/>
          <w:sz w:val="28"/>
          <w:szCs w:val="28"/>
        </w:rPr>
        <w:footnoteReference w:id="13"/>
      </w:r>
      <w:r w:rsidRPr="0098018B">
        <w:rPr>
          <w:sz w:val="28"/>
          <w:szCs w:val="28"/>
        </w:rPr>
        <w:t xml:space="preserve"> In a 2012 Colorado case, “at least several thousand people’s phones”</w:t>
      </w:r>
      <w:r w:rsidR="00A36500">
        <w:rPr>
          <w:sz w:val="28"/>
          <w:szCs w:val="28"/>
        </w:rPr>
        <w:t xml:space="preserve"> </w:t>
      </w:r>
      <w:r w:rsidRPr="0098018B">
        <w:rPr>
          <w:sz w:val="28"/>
          <w:szCs w:val="28"/>
        </w:rPr>
        <w:t>were likely implicated in a series of cell tower du</w:t>
      </w:r>
      <w:r w:rsidR="0065635D">
        <w:rPr>
          <w:sz w:val="28"/>
          <w:szCs w:val="28"/>
        </w:rPr>
        <w:t>mps requested by local police.</w:t>
      </w:r>
      <w:r w:rsidR="0065635D">
        <w:rPr>
          <w:rStyle w:val="FootnoteReference"/>
          <w:sz w:val="28"/>
          <w:szCs w:val="28"/>
        </w:rPr>
        <w:footnoteReference w:id="14"/>
      </w:r>
    </w:p>
    <w:p w14:paraId="0956408B" w14:textId="7FF625C5" w:rsidR="00B731EA" w:rsidRDefault="00C359B3" w:rsidP="002F364B">
      <w:pPr>
        <w:tabs>
          <w:tab w:val="left" w:pos="213"/>
          <w:tab w:val="center" w:pos="4680"/>
        </w:tabs>
        <w:spacing w:afterLines="160" w:after="384"/>
        <w:rPr>
          <w:b/>
          <w:sz w:val="28"/>
          <w:szCs w:val="28"/>
        </w:rPr>
      </w:pPr>
      <w:r>
        <w:rPr>
          <w:b/>
          <w:sz w:val="28"/>
          <w:szCs w:val="28"/>
        </w:rPr>
        <w:tab/>
      </w:r>
      <w:r>
        <w:rPr>
          <w:b/>
          <w:sz w:val="28"/>
          <w:szCs w:val="28"/>
        </w:rPr>
        <w:tab/>
      </w:r>
      <w:r w:rsidR="00E80969">
        <w:rPr>
          <w:b/>
          <w:sz w:val="28"/>
          <w:szCs w:val="28"/>
        </w:rPr>
        <w:t>Argument</w:t>
      </w:r>
    </w:p>
    <w:p w14:paraId="487B5595" w14:textId="4D23991F" w:rsidR="00A11DF8" w:rsidRDefault="00337612" w:rsidP="002F364B">
      <w:pPr>
        <w:pStyle w:val="ListParagraph"/>
        <w:numPr>
          <w:ilvl w:val="0"/>
          <w:numId w:val="3"/>
        </w:numPr>
        <w:spacing w:afterLines="160" w:after="384"/>
        <w:jc w:val="both"/>
        <w:rPr>
          <w:b/>
          <w:sz w:val="28"/>
          <w:szCs w:val="28"/>
        </w:rPr>
      </w:pPr>
      <w:r>
        <w:rPr>
          <w:b/>
          <w:sz w:val="28"/>
          <w:szCs w:val="28"/>
        </w:rPr>
        <w:t>The SCA Does Not Authorize Tower Dumps</w:t>
      </w:r>
    </w:p>
    <w:p w14:paraId="208A2BCA" w14:textId="61853935" w:rsidR="003E24A7" w:rsidRDefault="001B72CA" w:rsidP="002F364B">
      <w:pPr>
        <w:spacing w:afterLines="160" w:after="384"/>
        <w:jc w:val="both"/>
        <w:rPr>
          <w:sz w:val="28"/>
          <w:szCs w:val="28"/>
        </w:rPr>
      </w:pPr>
      <w:r>
        <w:rPr>
          <w:sz w:val="28"/>
          <w:szCs w:val="28"/>
        </w:rPr>
        <w:t xml:space="preserve">The Stored Communications Act does not authorize tower dumps. </w:t>
      </w:r>
      <w:r w:rsidR="008B16F2">
        <w:rPr>
          <w:sz w:val="28"/>
          <w:szCs w:val="28"/>
        </w:rPr>
        <w:t>In 1986</w:t>
      </w:r>
      <w:r w:rsidR="00AA6EA9">
        <w:rPr>
          <w:sz w:val="28"/>
          <w:szCs w:val="28"/>
        </w:rPr>
        <w:t xml:space="preserve">, when Congress passed the SCA, the notion of a “tower dump” </w:t>
      </w:r>
      <w:r w:rsidR="00C362FF">
        <w:rPr>
          <w:sz w:val="28"/>
          <w:szCs w:val="28"/>
        </w:rPr>
        <w:t xml:space="preserve">was not </w:t>
      </w:r>
      <w:r w:rsidR="003E24A7">
        <w:rPr>
          <w:sz w:val="28"/>
          <w:szCs w:val="28"/>
        </w:rPr>
        <w:t>just foreign</w:t>
      </w:r>
      <w:r w:rsidR="00C362FF">
        <w:rPr>
          <w:sz w:val="28"/>
          <w:szCs w:val="28"/>
        </w:rPr>
        <w:t xml:space="preserve"> to lawmakers</w:t>
      </w:r>
      <w:r w:rsidR="003E24A7">
        <w:rPr>
          <w:sz w:val="28"/>
          <w:szCs w:val="28"/>
        </w:rPr>
        <w:t>; it was</w:t>
      </w:r>
      <w:r w:rsidR="00AA6EA9">
        <w:rPr>
          <w:sz w:val="28"/>
          <w:szCs w:val="28"/>
        </w:rPr>
        <w:t xml:space="preserve"> </w:t>
      </w:r>
      <w:r w:rsidR="003E24A7">
        <w:rPr>
          <w:sz w:val="28"/>
          <w:szCs w:val="28"/>
        </w:rPr>
        <w:t>antithetical</w:t>
      </w:r>
      <w:r w:rsidR="00C11D60">
        <w:rPr>
          <w:sz w:val="28"/>
          <w:szCs w:val="28"/>
        </w:rPr>
        <w:t xml:space="preserve"> to their purpose</w:t>
      </w:r>
      <w:r w:rsidR="003E24A7">
        <w:rPr>
          <w:sz w:val="28"/>
          <w:szCs w:val="28"/>
        </w:rPr>
        <w:t>.</w:t>
      </w:r>
      <w:r w:rsidR="00C362FF">
        <w:rPr>
          <w:sz w:val="28"/>
          <w:szCs w:val="28"/>
        </w:rPr>
        <w:t xml:space="preserve"> S</w:t>
      </w:r>
      <w:r w:rsidR="003E24A7">
        <w:rPr>
          <w:sz w:val="28"/>
          <w:szCs w:val="28"/>
        </w:rPr>
        <w:t>uch sweeping, indiscriminate searches were Congress</w:t>
      </w:r>
      <w:r w:rsidR="00C362FF">
        <w:rPr>
          <w:sz w:val="28"/>
          <w:szCs w:val="28"/>
        </w:rPr>
        <w:t>’</w:t>
      </w:r>
      <w:r w:rsidR="00F33D58">
        <w:rPr>
          <w:sz w:val="28"/>
          <w:szCs w:val="28"/>
        </w:rPr>
        <w:t>s</w:t>
      </w:r>
      <w:r w:rsidR="00C362FF">
        <w:rPr>
          <w:sz w:val="28"/>
          <w:szCs w:val="28"/>
        </w:rPr>
        <w:t xml:space="preserve"> primary concern</w:t>
      </w:r>
      <w:r w:rsidR="003E24A7">
        <w:rPr>
          <w:sz w:val="28"/>
          <w:szCs w:val="28"/>
        </w:rPr>
        <w:t>, not</w:t>
      </w:r>
      <w:r w:rsidR="00C362FF">
        <w:rPr>
          <w:sz w:val="28"/>
          <w:szCs w:val="28"/>
        </w:rPr>
        <w:t xml:space="preserve"> its</w:t>
      </w:r>
      <w:r w:rsidR="003E24A7">
        <w:rPr>
          <w:sz w:val="28"/>
          <w:szCs w:val="28"/>
        </w:rPr>
        <w:t xml:space="preserve"> legislative intent.</w:t>
      </w:r>
    </w:p>
    <w:p w14:paraId="54CA3523" w14:textId="3164EC10" w:rsidR="00B371B1" w:rsidRDefault="00C362FF" w:rsidP="00B371B1">
      <w:pPr>
        <w:jc w:val="both"/>
        <w:rPr>
          <w:sz w:val="28"/>
          <w:szCs w:val="28"/>
        </w:rPr>
      </w:pPr>
      <w:r>
        <w:rPr>
          <w:sz w:val="28"/>
          <w:szCs w:val="28"/>
        </w:rPr>
        <w:t xml:space="preserve">Congress passed the SCA, part of the Electronic Communications Privacy Act (“ECPA”), in response to the Supreme Court’s decision in </w:t>
      </w:r>
      <w:r>
        <w:rPr>
          <w:i/>
          <w:sz w:val="28"/>
          <w:szCs w:val="28"/>
        </w:rPr>
        <w:t>Smith v. Maryland</w:t>
      </w:r>
      <w:r>
        <w:rPr>
          <w:sz w:val="28"/>
          <w:szCs w:val="28"/>
        </w:rPr>
        <w:t xml:space="preserve">, 442 </w:t>
      </w:r>
      <w:r w:rsidRPr="00B371B1">
        <w:rPr>
          <w:sz w:val="28"/>
          <w:szCs w:val="28"/>
        </w:rPr>
        <w:t>U.S. 735, 737 (1979), which found no reasonable expectation of privacy in basic telephone records held by a telephone company.</w:t>
      </w:r>
      <w:r w:rsidR="00B371B1" w:rsidRPr="00B371B1">
        <w:rPr>
          <w:sz w:val="28"/>
          <w:szCs w:val="28"/>
        </w:rPr>
        <w:t xml:space="preserve"> The SCA prohibits government access to cell phone location data stored by a cell service provider, subject only to specific statutory exceptions. </w:t>
      </w:r>
      <w:r w:rsidR="00986CA3">
        <w:rPr>
          <w:sz w:val="28"/>
          <w:szCs w:val="28"/>
        </w:rPr>
        <w:t>O</w:t>
      </w:r>
      <w:r w:rsidR="00B371B1" w:rsidRPr="00B371B1">
        <w:rPr>
          <w:sz w:val="28"/>
          <w:szCs w:val="28"/>
        </w:rPr>
        <w:t xml:space="preserve">ne of those exceptions </w:t>
      </w:r>
      <w:r w:rsidR="00986CA3">
        <w:rPr>
          <w:sz w:val="28"/>
          <w:szCs w:val="28"/>
        </w:rPr>
        <w:t>permits</w:t>
      </w:r>
      <w:r w:rsidR="00B371B1" w:rsidRPr="00B371B1">
        <w:rPr>
          <w:sz w:val="28"/>
          <w:szCs w:val="28"/>
        </w:rPr>
        <w:t xml:space="preserve"> requests for records belonging to specific, identified </w:t>
      </w:r>
      <w:r w:rsidR="00C11D60">
        <w:rPr>
          <w:sz w:val="28"/>
          <w:szCs w:val="28"/>
        </w:rPr>
        <w:t>users. B</w:t>
      </w:r>
      <w:r w:rsidR="00986CA3">
        <w:rPr>
          <w:sz w:val="28"/>
          <w:szCs w:val="28"/>
        </w:rPr>
        <w:t xml:space="preserve">ut </w:t>
      </w:r>
      <w:r w:rsidR="00B371B1" w:rsidRPr="00B371B1">
        <w:rPr>
          <w:sz w:val="28"/>
          <w:szCs w:val="28"/>
        </w:rPr>
        <w:t xml:space="preserve">its plain terms do not allow the kind of dragnet search at issue here. </w:t>
      </w:r>
    </w:p>
    <w:p w14:paraId="07C0F91C" w14:textId="77777777" w:rsidR="00B713D7" w:rsidRPr="00B371B1" w:rsidRDefault="00B713D7" w:rsidP="00B371B1">
      <w:pPr>
        <w:jc w:val="both"/>
        <w:rPr>
          <w:sz w:val="28"/>
          <w:szCs w:val="28"/>
        </w:rPr>
      </w:pPr>
    </w:p>
    <w:p w14:paraId="7009AB89" w14:textId="1D1B946B" w:rsidR="00943607" w:rsidRPr="00F33D58" w:rsidRDefault="00B371B1" w:rsidP="00C11D60">
      <w:pPr>
        <w:spacing w:after="160" w:line="259" w:lineRule="auto"/>
        <w:jc w:val="both"/>
        <w:rPr>
          <w:sz w:val="28"/>
          <w:szCs w:val="28"/>
        </w:rPr>
      </w:pPr>
      <w:r w:rsidRPr="00B371B1">
        <w:rPr>
          <w:sz w:val="28"/>
          <w:szCs w:val="28"/>
        </w:rPr>
        <w:t xml:space="preserve">The SCA </w:t>
      </w:r>
      <w:r w:rsidR="00986CA3">
        <w:rPr>
          <w:sz w:val="28"/>
          <w:szCs w:val="28"/>
        </w:rPr>
        <w:t>authorizes</w:t>
      </w:r>
      <w:r w:rsidRPr="00B371B1">
        <w:rPr>
          <w:sz w:val="28"/>
          <w:szCs w:val="28"/>
        </w:rPr>
        <w:t xml:space="preserve"> an electronic </w:t>
      </w:r>
      <w:r w:rsidR="00986CA3">
        <w:rPr>
          <w:sz w:val="28"/>
          <w:szCs w:val="28"/>
        </w:rPr>
        <w:t>communications service provider</w:t>
      </w:r>
      <w:r w:rsidRPr="00B371B1">
        <w:rPr>
          <w:sz w:val="28"/>
          <w:szCs w:val="28"/>
        </w:rPr>
        <w:t xml:space="preserve"> </w:t>
      </w:r>
      <w:r w:rsidR="00986CA3">
        <w:rPr>
          <w:sz w:val="28"/>
          <w:szCs w:val="28"/>
        </w:rPr>
        <w:t xml:space="preserve">to </w:t>
      </w:r>
      <w:r w:rsidR="00A91C20">
        <w:rPr>
          <w:sz w:val="28"/>
          <w:szCs w:val="28"/>
        </w:rPr>
        <w:t xml:space="preserve">divulge </w:t>
      </w:r>
      <w:r w:rsidRPr="00B371B1">
        <w:rPr>
          <w:sz w:val="28"/>
          <w:szCs w:val="28"/>
        </w:rPr>
        <w:t xml:space="preserve">a record or other information pertaining to </w:t>
      </w:r>
      <w:r w:rsidRPr="00B371B1">
        <w:rPr>
          <w:i/>
          <w:sz w:val="28"/>
          <w:szCs w:val="28"/>
        </w:rPr>
        <w:t xml:space="preserve">a subscriber </w:t>
      </w:r>
      <w:r w:rsidRPr="00A91C20">
        <w:rPr>
          <w:i/>
          <w:sz w:val="28"/>
          <w:szCs w:val="28"/>
        </w:rPr>
        <w:t>to or customer of such service</w:t>
      </w:r>
      <w:r w:rsidR="00A91C20">
        <w:rPr>
          <w:sz w:val="28"/>
          <w:szCs w:val="28"/>
        </w:rPr>
        <w:t>,</w:t>
      </w:r>
      <w:r w:rsidRPr="00B371B1">
        <w:rPr>
          <w:sz w:val="28"/>
          <w:szCs w:val="28"/>
        </w:rPr>
        <w:t>”</w:t>
      </w:r>
      <w:r w:rsidR="00A91C20">
        <w:rPr>
          <w:sz w:val="28"/>
          <w:szCs w:val="28"/>
        </w:rPr>
        <w:t xml:space="preserve"> only</w:t>
      </w:r>
      <w:r w:rsidRPr="00B371B1">
        <w:rPr>
          <w:sz w:val="28"/>
          <w:szCs w:val="28"/>
        </w:rPr>
        <w:t xml:space="preserve"> pursuant to a warrant, court ord</w:t>
      </w:r>
      <w:r w:rsidR="00A91C20">
        <w:rPr>
          <w:sz w:val="28"/>
          <w:szCs w:val="28"/>
        </w:rPr>
        <w:t>er, or consent. 18 U.S.C. §§ 2702</w:t>
      </w:r>
      <w:r w:rsidRPr="00B371B1">
        <w:rPr>
          <w:sz w:val="28"/>
          <w:szCs w:val="28"/>
        </w:rPr>
        <w:t>(c)(1)</w:t>
      </w:r>
      <w:r w:rsidR="00A91C20">
        <w:rPr>
          <w:sz w:val="28"/>
          <w:szCs w:val="28"/>
        </w:rPr>
        <w:t>; 2703(c).</w:t>
      </w:r>
      <w:r w:rsidRPr="00B371B1">
        <w:rPr>
          <w:sz w:val="28"/>
          <w:szCs w:val="28"/>
        </w:rPr>
        <w:t xml:space="preserve"> (emphasis added). It does not say that the government may </w:t>
      </w:r>
      <w:r w:rsidR="00986CA3">
        <w:rPr>
          <w:sz w:val="28"/>
          <w:szCs w:val="28"/>
        </w:rPr>
        <w:t>obtain the records first and identify subscriber</w:t>
      </w:r>
      <w:r w:rsidR="00A91C20">
        <w:rPr>
          <w:sz w:val="28"/>
          <w:szCs w:val="28"/>
        </w:rPr>
        <w:t>s</w:t>
      </w:r>
      <w:r w:rsidR="00986CA3">
        <w:rPr>
          <w:sz w:val="28"/>
          <w:szCs w:val="28"/>
        </w:rPr>
        <w:t xml:space="preserve"> later. </w:t>
      </w:r>
      <w:r w:rsidR="00A91C20">
        <w:rPr>
          <w:sz w:val="28"/>
          <w:szCs w:val="28"/>
        </w:rPr>
        <w:t>Congress phrased § 2703(c) in the singular – “</w:t>
      </w:r>
      <w:r w:rsidR="00A91C20">
        <w:rPr>
          <w:i/>
          <w:sz w:val="28"/>
          <w:szCs w:val="28"/>
        </w:rPr>
        <w:t xml:space="preserve">a </w:t>
      </w:r>
      <w:r w:rsidR="00A91C20">
        <w:rPr>
          <w:sz w:val="28"/>
          <w:szCs w:val="28"/>
        </w:rPr>
        <w:t>subscriber” not ‘unidentified persons’ – and it did so for</w:t>
      </w:r>
      <w:r w:rsidR="00791FD7">
        <w:rPr>
          <w:sz w:val="28"/>
          <w:szCs w:val="28"/>
        </w:rPr>
        <w:t xml:space="preserve"> good reason. </w:t>
      </w:r>
    </w:p>
    <w:p w14:paraId="195263B3" w14:textId="7BB80D0B" w:rsidR="00C11D60" w:rsidRPr="00CC4E2F" w:rsidRDefault="00F33D58" w:rsidP="005526E0">
      <w:pPr>
        <w:spacing w:afterLines="160" w:after="384" w:line="259" w:lineRule="auto"/>
        <w:jc w:val="both"/>
        <w:rPr>
          <w:sz w:val="28"/>
          <w:szCs w:val="28"/>
        </w:rPr>
      </w:pPr>
      <w:r>
        <w:rPr>
          <w:sz w:val="28"/>
          <w:szCs w:val="28"/>
        </w:rPr>
        <w:t xml:space="preserve">The entire purpose of the SCA was to protect user privacy as technology advances. </w:t>
      </w:r>
      <w:r w:rsidR="00C11D60">
        <w:rPr>
          <w:sz w:val="28"/>
          <w:szCs w:val="28"/>
        </w:rPr>
        <w:t>As a result,</w:t>
      </w:r>
      <w:r>
        <w:rPr>
          <w:sz w:val="28"/>
          <w:szCs w:val="28"/>
        </w:rPr>
        <w:t xml:space="preserve"> Congress chose to strictly limit the circumstances in which the government may obtain cell phone user data. </w:t>
      </w:r>
      <w:r w:rsidRPr="00F33D58">
        <w:rPr>
          <w:i/>
          <w:sz w:val="28"/>
          <w:szCs w:val="28"/>
        </w:rPr>
        <w:t>See</w:t>
      </w:r>
      <w:r w:rsidRPr="00F33D58">
        <w:rPr>
          <w:sz w:val="28"/>
          <w:szCs w:val="28"/>
        </w:rPr>
        <w:t xml:space="preserve"> 18 U.S.C. § 2702; S. Rep. No. 99-541, at 3 (1986) (explaining intent to place a check</w:t>
      </w:r>
      <w:r>
        <w:rPr>
          <w:sz w:val="28"/>
          <w:szCs w:val="28"/>
        </w:rPr>
        <w:t xml:space="preserve"> </w:t>
      </w:r>
      <w:r w:rsidRPr="00F33D58">
        <w:rPr>
          <w:sz w:val="28"/>
          <w:szCs w:val="28"/>
        </w:rPr>
        <w:t xml:space="preserve">on “technological advances in </w:t>
      </w:r>
      <w:r w:rsidRPr="00F33D58">
        <w:rPr>
          <w:sz w:val="28"/>
          <w:szCs w:val="28"/>
        </w:rPr>
        <w:lastRenderedPageBreak/>
        <w:t>surveillance devices and techniques” that are available to</w:t>
      </w:r>
      <w:r>
        <w:rPr>
          <w:sz w:val="28"/>
          <w:szCs w:val="28"/>
        </w:rPr>
        <w:t xml:space="preserve"> </w:t>
      </w:r>
      <w:r w:rsidRPr="00F33D58">
        <w:rPr>
          <w:sz w:val="28"/>
          <w:szCs w:val="28"/>
        </w:rPr>
        <w:t>“overzealous law enforcement agencies,” and noting the statute’s purpose “to protect privacy</w:t>
      </w:r>
      <w:r>
        <w:rPr>
          <w:sz w:val="28"/>
          <w:szCs w:val="28"/>
        </w:rPr>
        <w:t xml:space="preserve"> </w:t>
      </w:r>
      <w:r w:rsidRPr="00F33D58">
        <w:rPr>
          <w:sz w:val="28"/>
          <w:szCs w:val="28"/>
        </w:rPr>
        <w:t>interests in personal and proprietary information”). The use of the singular article in § 2703(c) is</w:t>
      </w:r>
      <w:r>
        <w:rPr>
          <w:sz w:val="28"/>
          <w:szCs w:val="28"/>
        </w:rPr>
        <w:t xml:space="preserve"> </w:t>
      </w:r>
      <w:r w:rsidRPr="00F33D58">
        <w:rPr>
          <w:sz w:val="28"/>
          <w:szCs w:val="28"/>
        </w:rPr>
        <w:t>part of Congress’s comprehensive scheme to strictly limit permissible government intrusions into</w:t>
      </w:r>
      <w:r>
        <w:rPr>
          <w:sz w:val="28"/>
          <w:szCs w:val="28"/>
        </w:rPr>
        <w:t xml:space="preserve"> </w:t>
      </w:r>
      <w:r w:rsidRPr="00F33D58">
        <w:rPr>
          <w:sz w:val="28"/>
          <w:szCs w:val="28"/>
        </w:rPr>
        <w:t>the privacy of cell phone users. S</w:t>
      </w:r>
      <w:r w:rsidRPr="00F33D58">
        <w:rPr>
          <w:i/>
          <w:sz w:val="28"/>
          <w:szCs w:val="28"/>
        </w:rPr>
        <w:t>ee First Nat’l Bank in St. Louis v. Missouri</w:t>
      </w:r>
      <w:r w:rsidRPr="00F33D58">
        <w:rPr>
          <w:sz w:val="28"/>
          <w:szCs w:val="28"/>
        </w:rPr>
        <w:t>, 263 U.S. 640, 657</w:t>
      </w:r>
      <w:r>
        <w:rPr>
          <w:sz w:val="28"/>
          <w:szCs w:val="28"/>
        </w:rPr>
        <w:t xml:space="preserve"> </w:t>
      </w:r>
      <w:r w:rsidRPr="00F33D58">
        <w:rPr>
          <w:sz w:val="28"/>
          <w:szCs w:val="28"/>
        </w:rPr>
        <w:t>(1924) (noting the background principle that “‘words importing the singular number may extend</w:t>
      </w:r>
      <w:r>
        <w:rPr>
          <w:sz w:val="28"/>
          <w:szCs w:val="28"/>
        </w:rPr>
        <w:t xml:space="preserve"> </w:t>
      </w:r>
      <w:r w:rsidRPr="00F33D58">
        <w:rPr>
          <w:sz w:val="28"/>
          <w:szCs w:val="28"/>
        </w:rPr>
        <w:t xml:space="preserve">and be applied to several persons or </w:t>
      </w:r>
      <w:r w:rsidRPr="00CC4E2F">
        <w:rPr>
          <w:sz w:val="28"/>
          <w:szCs w:val="28"/>
        </w:rPr>
        <w:t>things,’” but explaining that “obviously this rule is not one to be applied except where it is necessary to carry out the evident intent of the statute”).</w:t>
      </w:r>
    </w:p>
    <w:p w14:paraId="4B40A222" w14:textId="77777777" w:rsidR="00CC4E2F" w:rsidRDefault="00C11D60" w:rsidP="00CC4E2F">
      <w:pPr>
        <w:jc w:val="both"/>
        <w:rPr>
          <w:sz w:val="28"/>
          <w:szCs w:val="28"/>
        </w:rPr>
      </w:pPr>
      <w:r w:rsidRPr="00CC4E2F">
        <w:rPr>
          <w:sz w:val="28"/>
          <w:szCs w:val="28"/>
        </w:rPr>
        <w:t xml:space="preserve">At very least, this Court should recognize that that the SCA does not explicitly address tower dumps. </w:t>
      </w:r>
      <w:r w:rsidR="00CC4E2F" w:rsidRPr="00CC4E2F">
        <w:rPr>
          <w:i/>
          <w:sz w:val="28"/>
          <w:szCs w:val="28"/>
        </w:rPr>
        <w:t xml:space="preserve">See </w:t>
      </w:r>
      <w:r w:rsidR="00CC4E2F" w:rsidRPr="00CC4E2F">
        <w:rPr>
          <w:i/>
          <w:iCs/>
          <w:color w:val="000000"/>
          <w:sz w:val="28"/>
          <w:szCs w:val="28"/>
        </w:rPr>
        <w:t>In re U.S. ex rel. Order Pursuant to 18 U.S.C. Section 2703(d)</w:t>
      </w:r>
      <w:r w:rsidR="00CC4E2F" w:rsidRPr="00CC4E2F">
        <w:rPr>
          <w:color w:val="000000"/>
          <w:sz w:val="28"/>
          <w:szCs w:val="28"/>
        </w:rPr>
        <w:t>, 930 F. Supp. 2d 698, 700 (S.D. Tex. 2012)</w:t>
      </w:r>
      <w:r w:rsidR="00CC4E2F" w:rsidRPr="00CC4E2F">
        <w:rPr>
          <w:sz w:val="28"/>
          <w:szCs w:val="28"/>
        </w:rPr>
        <w:t xml:space="preserve"> (“That statute does not address cell tower dumps.”). Indeed, a</w:t>
      </w:r>
      <w:r w:rsidR="00874E90" w:rsidRPr="00CC4E2F">
        <w:rPr>
          <w:sz w:val="28"/>
          <w:szCs w:val="28"/>
        </w:rPr>
        <w:t>s one</w:t>
      </w:r>
      <w:r w:rsidRPr="00CC4E2F">
        <w:rPr>
          <w:sz w:val="28"/>
          <w:szCs w:val="28"/>
        </w:rPr>
        <w:t xml:space="preserve"> leading scholar of the SCA has observed, the SCA is “silent on court orders that seek records regarding hundreds or even thousands of users.” Orin S. Kerr, </w:t>
      </w:r>
      <w:r w:rsidRPr="00CC4E2F">
        <w:rPr>
          <w:i/>
          <w:sz w:val="28"/>
          <w:szCs w:val="28"/>
        </w:rPr>
        <w:t>The Next Generation Communications Privacy Act</w:t>
      </w:r>
      <w:r w:rsidRPr="00CC4E2F">
        <w:rPr>
          <w:sz w:val="28"/>
          <w:szCs w:val="28"/>
        </w:rPr>
        <w:t xml:space="preserve">, 162, U. Pa. L. Rev. 373, 402 (2014). </w:t>
      </w:r>
    </w:p>
    <w:p w14:paraId="4890266F" w14:textId="77777777" w:rsidR="00CC4E2F" w:rsidRDefault="00CC4E2F" w:rsidP="00CC4E2F">
      <w:pPr>
        <w:jc w:val="both"/>
        <w:rPr>
          <w:sz w:val="28"/>
          <w:szCs w:val="28"/>
        </w:rPr>
      </w:pPr>
    </w:p>
    <w:p w14:paraId="3CFE06D5" w14:textId="0998DE2D" w:rsidR="00874E90" w:rsidRPr="00CC4E2F" w:rsidRDefault="00C11D60" w:rsidP="00CC4E2F">
      <w:pPr>
        <w:jc w:val="both"/>
      </w:pPr>
      <w:r w:rsidRPr="00CC4E2F">
        <w:rPr>
          <w:sz w:val="28"/>
          <w:szCs w:val="28"/>
        </w:rPr>
        <w:t>Had Congress intended to authorize bulk requests for unknown customers’</w:t>
      </w:r>
      <w:r>
        <w:rPr>
          <w:sz w:val="28"/>
          <w:szCs w:val="28"/>
        </w:rPr>
        <w:t xml:space="preserve"> data, it could have said so. It did not</w:t>
      </w:r>
      <w:r w:rsidR="00874E90">
        <w:rPr>
          <w:sz w:val="28"/>
          <w:szCs w:val="28"/>
        </w:rPr>
        <w:t xml:space="preserve"> do so</w:t>
      </w:r>
      <w:r>
        <w:rPr>
          <w:sz w:val="28"/>
          <w:szCs w:val="28"/>
        </w:rPr>
        <w:t xml:space="preserve">. </w:t>
      </w:r>
      <w:r w:rsidR="00874E90" w:rsidRPr="00791FD7">
        <w:rPr>
          <w:i/>
          <w:sz w:val="28"/>
          <w:szCs w:val="28"/>
        </w:rPr>
        <w:t>See United States v. Hayes</w:t>
      </w:r>
      <w:r w:rsidR="00874E90" w:rsidRPr="00791FD7">
        <w:rPr>
          <w:sz w:val="28"/>
          <w:szCs w:val="28"/>
        </w:rPr>
        <w:t>, 555 U.S. 415, 421–22 (2009) (assessing Congress’s use of the singular in a statute and explaining that, had Congress meant otherwise, “it likely would have used the plural”).</w:t>
      </w:r>
      <w:r w:rsidR="00874E90" w:rsidRPr="00791FD7">
        <w:rPr>
          <w:rStyle w:val="FootnoteReference"/>
          <w:sz w:val="28"/>
          <w:szCs w:val="28"/>
        </w:rPr>
        <w:footnoteReference w:id="15"/>
      </w:r>
      <w:r w:rsidR="00874E90">
        <w:rPr>
          <w:sz w:val="28"/>
          <w:szCs w:val="28"/>
        </w:rPr>
        <w:t xml:space="preserve"> </w:t>
      </w:r>
      <w:r>
        <w:rPr>
          <w:sz w:val="28"/>
          <w:szCs w:val="28"/>
        </w:rPr>
        <w:t xml:space="preserve">It defies both </w:t>
      </w:r>
      <w:r w:rsidR="00B55AB2">
        <w:rPr>
          <w:sz w:val="28"/>
          <w:szCs w:val="28"/>
        </w:rPr>
        <w:t>the English language</w:t>
      </w:r>
      <w:r>
        <w:rPr>
          <w:sz w:val="28"/>
          <w:szCs w:val="28"/>
        </w:rPr>
        <w:t xml:space="preserve"> and legislative </w:t>
      </w:r>
      <w:r w:rsidR="00874E90">
        <w:rPr>
          <w:sz w:val="28"/>
          <w:szCs w:val="28"/>
        </w:rPr>
        <w:t>intent</w:t>
      </w:r>
      <w:r>
        <w:rPr>
          <w:sz w:val="28"/>
          <w:szCs w:val="28"/>
        </w:rPr>
        <w:t xml:space="preserve"> to </w:t>
      </w:r>
      <w:r w:rsidRPr="00C10200">
        <w:rPr>
          <w:sz w:val="28"/>
          <w:szCs w:val="28"/>
        </w:rPr>
        <w:t xml:space="preserve">read the SCA </w:t>
      </w:r>
      <w:r>
        <w:rPr>
          <w:sz w:val="28"/>
          <w:szCs w:val="28"/>
        </w:rPr>
        <w:t>to</w:t>
      </w:r>
      <w:r w:rsidRPr="00C10200">
        <w:rPr>
          <w:sz w:val="28"/>
          <w:szCs w:val="28"/>
        </w:rPr>
        <w:t xml:space="preserve"> </w:t>
      </w:r>
      <w:r>
        <w:rPr>
          <w:sz w:val="28"/>
          <w:szCs w:val="28"/>
        </w:rPr>
        <w:t>permit</w:t>
      </w:r>
      <w:r w:rsidR="00B55AB2">
        <w:rPr>
          <w:sz w:val="28"/>
          <w:szCs w:val="28"/>
        </w:rPr>
        <w:t xml:space="preserve"> broad</w:t>
      </w:r>
      <w:r w:rsidRPr="00C10200">
        <w:rPr>
          <w:sz w:val="28"/>
          <w:szCs w:val="28"/>
        </w:rPr>
        <w:t xml:space="preserve"> requests for information about potentially thousands of </w:t>
      </w:r>
      <w:r w:rsidR="005526E0">
        <w:rPr>
          <w:sz w:val="28"/>
          <w:szCs w:val="28"/>
        </w:rPr>
        <w:t xml:space="preserve">unknown </w:t>
      </w:r>
      <w:r w:rsidRPr="00C10200">
        <w:rPr>
          <w:sz w:val="28"/>
          <w:szCs w:val="28"/>
        </w:rPr>
        <w:t>people</w:t>
      </w:r>
      <w:r>
        <w:rPr>
          <w:sz w:val="28"/>
          <w:szCs w:val="28"/>
        </w:rPr>
        <w:t xml:space="preserve">. </w:t>
      </w:r>
      <w:r w:rsidR="00874E90">
        <w:rPr>
          <w:sz w:val="28"/>
          <w:szCs w:val="28"/>
        </w:rPr>
        <w:t xml:space="preserve">Congress </w:t>
      </w:r>
      <w:r w:rsidRPr="00C10200">
        <w:rPr>
          <w:sz w:val="28"/>
          <w:szCs w:val="28"/>
        </w:rPr>
        <w:t xml:space="preserve">plainly limited </w:t>
      </w:r>
      <w:r w:rsidR="00874E90">
        <w:rPr>
          <w:sz w:val="28"/>
          <w:szCs w:val="28"/>
        </w:rPr>
        <w:t xml:space="preserve">government record requests </w:t>
      </w:r>
      <w:r w:rsidRPr="00C10200">
        <w:rPr>
          <w:sz w:val="28"/>
          <w:szCs w:val="28"/>
        </w:rPr>
        <w:t xml:space="preserve">to </w:t>
      </w:r>
      <w:r w:rsidR="00874E90">
        <w:rPr>
          <w:sz w:val="28"/>
          <w:szCs w:val="28"/>
        </w:rPr>
        <w:t>identifiable suspects</w:t>
      </w:r>
      <w:r w:rsidR="005526E0">
        <w:rPr>
          <w:sz w:val="28"/>
          <w:szCs w:val="28"/>
        </w:rPr>
        <w:t xml:space="preserve"> on an individual basis</w:t>
      </w:r>
      <w:r w:rsidR="00874E90">
        <w:rPr>
          <w:sz w:val="28"/>
          <w:szCs w:val="28"/>
        </w:rPr>
        <w:t>. It</w:t>
      </w:r>
      <w:r>
        <w:rPr>
          <w:sz w:val="28"/>
          <w:szCs w:val="28"/>
        </w:rPr>
        <w:t xml:space="preserve"> did not </w:t>
      </w:r>
      <w:r w:rsidR="00874E90">
        <w:rPr>
          <w:sz w:val="28"/>
          <w:szCs w:val="28"/>
        </w:rPr>
        <w:t>hand law enforcement a</w:t>
      </w:r>
      <w:r w:rsidR="005526E0">
        <w:rPr>
          <w:sz w:val="28"/>
          <w:szCs w:val="28"/>
        </w:rPr>
        <w:t xml:space="preserve"> blank check to obtain cell phone records en masse.</w:t>
      </w:r>
    </w:p>
    <w:p w14:paraId="159DB139" w14:textId="77777777" w:rsidR="00CC4E2F" w:rsidRPr="00CC4E2F" w:rsidRDefault="00CC4E2F" w:rsidP="00CC4E2F">
      <w:pPr>
        <w:pStyle w:val="ListParagraph"/>
        <w:spacing w:afterLines="160" w:after="384"/>
        <w:ind w:left="1440"/>
        <w:jc w:val="both"/>
        <w:rPr>
          <w:sz w:val="28"/>
          <w:szCs w:val="28"/>
        </w:rPr>
      </w:pPr>
    </w:p>
    <w:p w14:paraId="1B5CD57C" w14:textId="5D1F521B" w:rsidR="005526E0" w:rsidRPr="005526E0" w:rsidRDefault="00337612" w:rsidP="003B474B">
      <w:pPr>
        <w:pStyle w:val="ListParagraph"/>
        <w:numPr>
          <w:ilvl w:val="0"/>
          <w:numId w:val="3"/>
        </w:numPr>
        <w:spacing w:afterLines="160" w:after="384"/>
        <w:jc w:val="both"/>
        <w:rPr>
          <w:sz w:val="28"/>
          <w:szCs w:val="28"/>
        </w:rPr>
      </w:pPr>
      <w:r w:rsidRPr="005526E0">
        <w:rPr>
          <w:b/>
          <w:sz w:val="28"/>
          <w:szCs w:val="28"/>
        </w:rPr>
        <w:t xml:space="preserve">Tower Dumps Are General Warrants </w:t>
      </w:r>
    </w:p>
    <w:p w14:paraId="48292670" w14:textId="26D8E311" w:rsidR="00933EC4" w:rsidRPr="00E34008" w:rsidRDefault="005526E0" w:rsidP="00933EC4">
      <w:pPr>
        <w:spacing w:afterLines="160" w:after="384"/>
        <w:jc w:val="both"/>
        <w:rPr>
          <w:sz w:val="28"/>
          <w:szCs w:val="28"/>
        </w:rPr>
      </w:pPr>
      <w:r w:rsidRPr="00B713D7">
        <w:rPr>
          <w:sz w:val="28"/>
          <w:szCs w:val="28"/>
        </w:rPr>
        <w:t>Tower dumps are a modern scion of general warrants</w:t>
      </w:r>
      <w:r w:rsidR="00E34008">
        <w:rPr>
          <w:sz w:val="28"/>
          <w:szCs w:val="28"/>
        </w:rPr>
        <w:t>, prohibited by both the Fourth Amendment and Art. I, § 20 of the North Carolina Constitution. Tower dumps</w:t>
      </w:r>
      <w:r w:rsidRPr="00B713D7">
        <w:rPr>
          <w:sz w:val="28"/>
          <w:szCs w:val="28"/>
        </w:rPr>
        <w:t xml:space="preserve"> seek </w:t>
      </w:r>
      <w:r w:rsidRPr="00B713D7">
        <w:rPr>
          <w:sz w:val="28"/>
          <w:szCs w:val="28"/>
        </w:rPr>
        <w:lastRenderedPageBreak/>
        <w:t xml:space="preserve">private cell phone records, without a warrant, and without any inkling of </w:t>
      </w:r>
      <w:r w:rsidR="00933EC4">
        <w:rPr>
          <w:sz w:val="28"/>
          <w:szCs w:val="28"/>
        </w:rPr>
        <w:t>whose</w:t>
      </w:r>
      <w:r w:rsidRPr="00B713D7">
        <w:rPr>
          <w:sz w:val="28"/>
          <w:szCs w:val="28"/>
        </w:rPr>
        <w:t xml:space="preserve"> privacy will be infringed. </w:t>
      </w:r>
      <w:r w:rsidRPr="00B713D7">
        <w:rPr>
          <w:i/>
          <w:sz w:val="28"/>
          <w:szCs w:val="28"/>
        </w:rPr>
        <w:t>See Carpenter</w:t>
      </w:r>
      <w:r w:rsidRPr="00B713D7">
        <w:rPr>
          <w:sz w:val="28"/>
          <w:szCs w:val="28"/>
        </w:rPr>
        <w:t>, 138 S. Ct. at 2217.</w:t>
      </w:r>
      <w:r w:rsidR="00B713D7" w:rsidRPr="00B713D7">
        <w:rPr>
          <w:sz w:val="28"/>
          <w:szCs w:val="28"/>
        </w:rPr>
        <w:t xml:space="preserve"> They are </w:t>
      </w:r>
      <w:r w:rsidRPr="00B713D7">
        <w:rPr>
          <w:sz w:val="28"/>
          <w:szCs w:val="28"/>
        </w:rPr>
        <w:t xml:space="preserve">the </w:t>
      </w:r>
      <w:r w:rsidR="00B713D7" w:rsidRPr="00B713D7">
        <w:rPr>
          <w:sz w:val="28"/>
          <w:szCs w:val="28"/>
        </w:rPr>
        <w:t xml:space="preserve">epitome of a </w:t>
      </w:r>
      <w:r w:rsidRPr="00B713D7">
        <w:rPr>
          <w:sz w:val="28"/>
          <w:szCs w:val="28"/>
        </w:rPr>
        <w:t>fishing expedition</w:t>
      </w:r>
      <w:r w:rsidR="00933EC4">
        <w:rPr>
          <w:sz w:val="28"/>
          <w:szCs w:val="28"/>
        </w:rPr>
        <w:t>,</w:t>
      </w:r>
      <w:r w:rsidRPr="00B713D7">
        <w:rPr>
          <w:sz w:val="28"/>
          <w:szCs w:val="28"/>
        </w:rPr>
        <w:t xml:space="preserve"> the </w:t>
      </w:r>
      <w:r w:rsidR="00B713D7" w:rsidRPr="00B713D7">
        <w:rPr>
          <w:sz w:val="28"/>
          <w:szCs w:val="28"/>
        </w:rPr>
        <w:t>same species</w:t>
      </w:r>
      <w:r w:rsidRPr="00B713D7">
        <w:rPr>
          <w:sz w:val="28"/>
          <w:szCs w:val="28"/>
        </w:rPr>
        <w:t xml:space="preserve"> of unlimited, </w:t>
      </w:r>
      <w:r w:rsidR="00B713D7" w:rsidRPr="00B713D7">
        <w:rPr>
          <w:sz w:val="28"/>
          <w:szCs w:val="28"/>
        </w:rPr>
        <w:t>open-ended searches that propelled a revolution and led to the adoption of the Fourth Amendment</w:t>
      </w:r>
      <w:r w:rsidRPr="00B713D7">
        <w:rPr>
          <w:sz w:val="28"/>
          <w:szCs w:val="28"/>
        </w:rPr>
        <w:t>.</w:t>
      </w:r>
      <w:r w:rsidR="00B713D7" w:rsidRPr="00B713D7">
        <w:rPr>
          <w:sz w:val="28"/>
          <w:szCs w:val="28"/>
        </w:rPr>
        <w:t xml:space="preserve"> </w:t>
      </w:r>
    </w:p>
    <w:p w14:paraId="5EE2743D" w14:textId="411E12AE" w:rsidR="00933EC4" w:rsidRPr="000E33A5" w:rsidRDefault="00933EC4" w:rsidP="00933EC4">
      <w:pPr>
        <w:spacing w:afterLines="160" w:after="384"/>
        <w:jc w:val="both"/>
        <w:rPr>
          <w:sz w:val="28"/>
          <w:szCs w:val="28"/>
        </w:rPr>
      </w:pPr>
      <w:r>
        <w:rPr>
          <w:sz w:val="28"/>
          <w:szCs w:val="28"/>
        </w:rPr>
        <w:t xml:space="preserve">The failure to establish probable cause for single suspect must not be cause for invading the privacy of multitudes. </w:t>
      </w:r>
      <w:r w:rsidR="006B3B16">
        <w:rPr>
          <w:sz w:val="28"/>
          <w:szCs w:val="28"/>
        </w:rPr>
        <w:t>Rather, such “exploratory rummaging” is the provenance of prohibited general warrants.</w:t>
      </w:r>
      <w:r w:rsidR="006B3B16">
        <w:rPr>
          <w:i/>
          <w:sz w:val="28"/>
          <w:szCs w:val="28"/>
        </w:rPr>
        <w:t xml:space="preserve"> </w:t>
      </w:r>
      <w:r w:rsidR="006B3B16" w:rsidRPr="00933EC4">
        <w:rPr>
          <w:i/>
          <w:sz w:val="28"/>
          <w:szCs w:val="28"/>
        </w:rPr>
        <w:t>Coolidge v. New Hampshire</w:t>
      </w:r>
      <w:r w:rsidR="006B3B16" w:rsidRPr="00933EC4">
        <w:rPr>
          <w:sz w:val="28"/>
          <w:szCs w:val="28"/>
        </w:rPr>
        <w:t>, 403 US 443, 467 (1971)</w:t>
      </w:r>
      <w:r w:rsidR="006B3B16">
        <w:rPr>
          <w:sz w:val="28"/>
          <w:szCs w:val="28"/>
        </w:rPr>
        <w:t xml:space="preserve"> </w:t>
      </w:r>
      <w:r w:rsidR="006B3B16" w:rsidRPr="00933EC4">
        <w:rPr>
          <w:sz w:val="28"/>
          <w:szCs w:val="28"/>
        </w:rPr>
        <w:t>(The problem posed by a general warrant is exploratory rummaging</w:t>
      </w:r>
      <w:r w:rsidR="006B3B16">
        <w:rPr>
          <w:sz w:val="28"/>
          <w:szCs w:val="28"/>
        </w:rPr>
        <w:t xml:space="preserve"> </w:t>
      </w:r>
      <w:r w:rsidR="006B3B16" w:rsidRPr="00933EC4">
        <w:rPr>
          <w:sz w:val="28"/>
          <w:szCs w:val="28"/>
        </w:rPr>
        <w:t xml:space="preserve">in </w:t>
      </w:r>
      <w:r w:rsidR="006B3B16" w:rsidRPr="000E33A5">
        <w:rPr>
          <w:sz w:val="28"/>
          <w:szCs w:val="28"/>
        </w:rPr>
        <w:t>a person's belongings.). It is also the central argument that the government advances in favor of permitting its practice of conducting tower dumps</w:t>
      </w:r>
      <w:r w:rsidR="00CB1CCE" w:rsidRPr="000E33A5">
        <w:rPr>
          <w:sz w:val="28"/>
          <w:szCs w:val="28"/>
        </w:rPr>
        <w:t xml:space="preserve">: </w:t>
      </w:r>
      <w:r w:rsidR="006B3B16" w:rsidRPr="000E33A5">
        <w:rPr>
          <w:sz w:val="28"/>
          <w:szCs w:val="28"/>
        </w:rPr>
        <w:t>‘We don’t know.’</w:t>
      </w:r>
    </w:p>
    <w:p w14:paraId="1A2762D5" w14:textId="77777777" w:rsidR="0045283B" w:rsidRPr="001879C6" w:rsidRDefault="006B3B16" w:rsidP="001879C6">
      <w:pPr>
        <w:spacing w:afterLines="160" w:after="384" w:line="259" w:lineRule="auto"/>
        <w:jc w:val="both"/>
        <w:rPr>
          <w:rFonts w:eastAsiaTheme="minorHAnsi"/>
          <w:sz w:val="28"/>
          <w:szCs w:val="28"/>
        </w:rPr>
      </w:pPr>
      <w:r w:rsidRPr="000E33A5">
        <w:rPr>
          <w:sz w:val="28"/>
          <w:szCs w:val="28"/>
        </w:rPr>
        <w:t xml:space="preserve">Such generalized, exploratory searches were the catalyst for the Fourth </w:t>
      </w:r>
      <w:r w:rsidR="00CB1CCE" w:rsidRPr="000E33A5">
        <w:rPr>
          <w:sz w:val="28"/>
          <w:szCs w:val="28"/>
        </w:rPr>
        <w:t>Amendment – m</w:t>
      </w:r>
      <w:r w:rsidR="00CB1CCE" w:rsidRPr="001879C6">
        <w:rPr>
          <w:sz w:val="28"/>
          <w:szCs w:val="28"/>
        </w:rPr>
        <w:t>emories fresh from a scandalous search for</w:t>
      </w:r>
      <w:r w:rsidRPr="001879C6">
        <w:rPr>
          <w:sz w:val="28"/>
          <w:szCs w:val="28"/>
        </w:rPr>
        <w:t xml:space="preserve"> the author of a satirical pamphlet that criticized </w:t>
      </w:r>
      <w:r w:rsidR="00CB1CCE" w:rsidRPr="001879C6">
        <w:rPr>
          <w:sz w:val="28"/>
          <w:szCs w:val="28"/>
        </w:rPr>
        <w:t>King George III</w:t>
      </w:r>
      <w:r w:rsidRPr="001879C6">
        <w:rPr>
          <w:sz w:val="28"/>
          <w:szCs w:val="28"/>
        </w:rPr>
        <w:t xml:space="preserve">. </w:t>
      </w:r>
      <w:r w:rsidRPr="001879C6">
        <w:rPr>
          <w:i/>
          <w:sz w:val="28"/>
          <w:szCs w:val="28"/>
        </w:rPr>
        <w:t>See</w:t>
      </w:r>
      <w:r w:rsidRPr="001879C6">
        <w:rPr>
          <w:sz w:val="28"/>
          <w:szCs w:val="28"/>
        </w:rPr>
        <w:t xml:space="preserve"> Michael Price, </w:t>
      </w:r>
      <w:r w:rsidRPr="001879C6">
        <w:rPr>
          <w:i/>
          <w:sz w:val="28"/>
          <w:szCs w:val="28"/>
        </w:rPr>
        <w:t>Rethinking Privacy: Fourth Amendment “Papers” and the Third-Party Doctrine</w:t>
      </w:r>
      <w:r w:rsidRPr="001879C6">
        <w:rPr>
          <w:sz w:val="28"/>
          <w:szCs w:val="28"/>
        </w:rPr>
        <w:t xml:space="preserve">, </w:t>
      </w:r>
      <w:r w:rsidRPr="001879C6">
        <w:rPr>
          <w:smallCaps/>
          <w:sz w:val="28"/>
          <w:szCs w:val="28"/>
        </w:rPr>
        <w:t xml:space="preserve">8 </w:t>
      </w:r>
      <w:r w:rsidRPr="001879C6">
        <w:rPr>
          <w:sz w:val="28"/>
          <w:szCs w:val="28"/>
        </w:rPr>
        <w:t>J. Nat’l Security L. &amp; Pol’y 247, 256 (2016).</w:t>
      </w:r>
      <w:r w:rsidR="00CB1CCE" w:rsidRPr="001879C6">
        <w:rPr>
          <w:sz w:val="28"/>
          <w:szCs w:val="28"/>
        </w:rPr>
        <w:t xml:space="preserve"> Indeed, the open-ended searches at issue here are exactly the kind of “dragnet” searches that the Supreme Court cautioned against in </w:t>
      </w:r>
      <w:r w:rsidR="00CB1CCE" w:rsidRPr="001879C6">
        <w:rPr>
          <w:i/>
          <w:sz w:val="28"/>
          <w:szCs w:val="28"/>
        </w:rPr>
        <w:t>United States v. Knotts</w:t>
      </w:r>
      <w:r w:rsidR="00CB1CCE" w:rsidRPr="001879C6">
        <w:rPr>
          <w:sz w:val="28"/>
          <w:szCs w:val="28"/>
        </w:rPr>
        <w:t xml:space="preserve">. </w:t>
      </w:r>
      <w:r w:rsidR="00E34008" w:rsidRPr="001879C6">
        <w:rPr>
          <w:rFonts w:eastAsiaTheme="minorHAnsi"/>
          <w:sz w:val="28"/>
          <w:szCs w:val="28"/>
        </w:rPr>
        <w:t xml:space="preserve">460 U.S. 276, 284 (1983). </w:t>
      </w:r>
    </w:p>
    <w:p w14:paraId="54EBF1EB" w14:textId="33C26D0E" w:rsidR="0045283B" w:rsidRPr="001879C6" w:rsidRDefault="00CB1CCE" w:rsidP="001879C6">
      <w:pPr>
        <w:spacing w:afterLines="160" w:after="384" w:line="259" w:lineRule="auto"/>
        <w:jc w:val="both"/>
        <w:rPr>
          <w:rFonts w:eastAsiaTheme="minorHAnsi"/>
          <w:sz w:val="28"/>
          <w:szCs w:val="28"/>
        </w:rPr>
      </w:pPr>
      <w:r w:rsidRPr="001879C6">
        <w:rPr>
          <w:rFonts w:eastAsiaTheme="minorHAnsi"/>
          <w:sz w:val="28"/>
          <w:szCs w:val="28"/>
        </w:rPr>
        <w:t xml:space="preserve">In </w:t>
      </w:r>
      <w:r w:rsidR="00E34008" w:rsidRPr="001879C6">
        <w:rPr>
          <w:rFonts w:eastAsiaTheme="minorHAnsi"/>
          <w:i/>
          <w:sz w:val="28"/>
          <w:szCs w:val="28"/>
        </w:rPr>
        <w:t>Knotts</w:t>
      </w:r>
      <w:r w:rsidR="00E34008" w:rsidRPr="001879C6">
        <w:rPr>
          <w:rFonts w:eastAsiaTheme="minorHAnsi"/>
          <w:sz w:val="28"/>
          <w:szCs w:val="28"/>
        </w:rPr>
        <w:t xml:space="preserve">, </w:t>
      </w:r>
      <w:r w:rsidR="00D27CE8" w:rsidRPr="001879C6">
        <w:rPr>
          <w:rFonts w:eastAsiaTheme="minorHAnsi"/>
          <w:sz w:val="28"/>
          <w:szCs w:val="28"/>
        </w:rPr>
        <w:t xml:space="preserve">the Court </w:t>
      </w:r>
      <w:r w:rsidR="00CC4E2F">
        <w:rPr>
          <w:rFonts w:eastAsiaTheme="minorHAnsi"/>
          <w:sz w:val="28"/>
          <w:szCs w:val="28"/>
        </w:rPr>
        <w:t>signaled its unease with</w:t>
      </w:r>
      <w:r w:rsidRPr="001879C6">
        <w:rPr>
          <w:rFonts w:eastAsiaTheme="minorHAnsi"/>
          <w:sz w:val="28"/>
          <w:szCs w:val="28"/>
        </w:rPr>
        <w:t xml:space="preserve"> “</w:t>
      </w:r>
      <w:r w:rsidR="000E33A5" w:rsidRPr="001879C6">
        <w:rPr>
          <w:rFonts w:eastAsiaTheme="minorHAnsi"/>
          <w:sz w:val="28"/>
          <w:szCs w:val="28"/>
        </w:rPr>
        <w:t>dragnet type</w:t>
      </w:r>
      <w:r w:rsidR="00E34008" w:rsidRPr="001879C6">
        <w:rPr>
          <w:rFonts w:eastAsiaTheme="minorHAnsi"/>
          <w:sz w:val="28"/>
          <w:szCs w:val="28"/>
        </w:rPr>
        <w:t>”</w:t>
      </w:r>
      <w:r w:rsidR="000E33A5" w:rsidRPr="001879C6">
        <w:rPr>
          <w:rFonts w:eastAsiaTheme="minorHAnsi"/>
          <w:sz w:val="28"/>
          <w:szCs w:val="28"/>
        </w:rPr>
        <w:t xml:space="preserve"> searches</w:t>
      </w:r>
      <w:r w:rsidR="00E34008" w:rsidRPr="001879C6">
        <w:rPr>
          <w:rFonts w:eastAsiaTheme="minorHAnsi"/>
          <w:sz w:val="28"/>
          <w:szCs w:val="28"/>
        </w:rPr>
        <w:t xml:space="preserve"> </w:t>
      </w:r>
      <w:r w:rsidR="000E33A5" w:rsidRPr="001879C6">
        <w:rPr>
          <w:rFonts w:eastAsiaTheme="minorHAnsi"/>
          <w:sz w:val="28"/>
          <w:szCs w:val="28"/>
        </w:rPr>
        <w:t>using</w:t>
      </w:r>
      <w:r w:rsidR="00E34008" w:rsidRPr="001879C6">
        <w:rPr>
          <w:rFonts w:eastAsiaTheme="minorHAnsi"/>
          <w:sz w:val="28"/>
          <w:szCs w:val="28"/>
        </w:rPr>
        <w:t xml:space="preserve"> location-tracking </w:t>
      </w:r>
      <w:r w:rsidR="000E33A5" w:rsidRPr="001879C6">
        <w:rPr>
          <w:rFonts w:eastAsiaTheme="minorHAnsi"/>
          <w:sz w:val="28"/>
          <w:szCs w:val="28"/>
        </w:rPr>
        <w:t>technology</w:t>
      </w:r>
      <w:r w:rsidRPr="001879C6">
        <w:rPr>
          <w:rFonts w:eastAsiaTheme="minorHAnsi"/>
          <w:sz w:val="28"/>
          <w:szCs w:val="28"/>
        </w:rPr>
        <w:t>,</w:t>
      </w:r>
      <w:r w:rsidR="00E34008" w:rsidRPr="001879C6">
        <w:rPr>
          <w:rFonts w:eastAsiaTheme="minorHAnsi"/>
          <w:sz w:val="28"/>
          <w:szCs w:val="28"/>
        </w:rPr>
        <w:t xml:space="preserve"> explicitly noting</w:t>
      </w:r>
      <w:r w:rsidRPr="001879C6">
        <w:rPr>
          <w:rFonts w:eastAsiaTheme="minorHAnsi"/>
          <w:sz w:val="28"/>
          <w:szCs w:val="28"/>
        </w:rPr>
        <w:t xml:space="preserve"> that “different constitutional principles may be applicable”</w:t>
      </w:r>
      <w:r w:rsidR="00E34008" w:rsidRPr="001879C6">
        <w:rPr>
          <w:rFonts w:eastAsiaTheme="minorHAnsi"/>
          <w:sz w:val="28"/>
          <w:szCs w:val="28"/>
        </w:rPr>
        <w:t xml:space="preserve"> to such </w:t>
      </w:r>
      <w:r w:rsidR="00457F1E">
        <w:rPr>
          <w:rFonts w:eastAsiaTheme="minorHAnsi"/>
          <w:sz w:val="28"/>
          <w:szCs w:val="28"/>
        </w:rPr>
        <w:t>searches</w:t>
      </w:r>
      <w:r w:rsidR="00E34008" w:rsidRPr="001879C6">
        <w:rPr>
          <w:rFonts w:eastAsiaTheme="minorHAnsi"/>
          <w:sz w:val="28"/>
          <w:szCs w:val="28"/>
        </w:rPr>
        <w:t>.</w:t>
      </w:r>
      <w:r w:rsidR="000E33A5" w:rsidRPr="001879C6">
        <w:rPr>
          <w:rFonts w:eastAsiaTheme="minorHAnsi"/>
          <w:sz w:val="28"/>
          <w:szCs w:val="28"/>
        </w:rPr>
        <w:t xml:space="preserve"> Indeed,</w:t>
      </w:r>
      <w:r w:rsidR="000E33A5" w:rsidRPr="001879C6">
        <w:rPr>
          <w:rFonts w:eastAsiaTheme="minorHAnsi"/>
          <w:i/>
          <w:sz w:val="28"/>
          <w:szCs w:val="28"/>
        </w:rPr>
        <w:t xml:space="preserve"> </w:t>
      </w:r>
      <w:r w:rsidR="000E33A5" w:rsidRPr="001879C6">
        <w:rPr>
          <w:rFonts w:eastAsiaTheme="minorHAnsi"/>
          <w:sz w:val="28"/>
          <w:szCs w:val="28"/>
        </w:rPr>
        <w:t xml:space="preserve">the </w:t>
      </w:r>
      <w:r w:rsidR="00E34008" w:rsidRPr="001879C6">
        <w:rPr>
          <w:rFonts w:eastAsiaTheme="minorHAnsi"/>
          <w:sz w:val="28"/>
          <w:szCs w:val="28"/>
        </w:rPr>
        <w:t>“‘wholesale surveillance’” of large numbers</w:t>
      </w:r>
      <w:r w:rsidR="000E33A5" w:rsidRPr="001879C6">
        <w:rPr>
          <w:rFonts w:eastAsiaTheme="minorHAnsi"/>
          <w:sz w:val="28"/>
          <w:szCs w:val="28"/>
        </w:rPr>
        <w:t xml:space="preserve"> </w:t>
      </w:r>
      <w:r w:rsidR="00E34008" w:rsidRPr="001879C6">
        <w:rPr>
          <w:rFonts w:eastAsiaTheme="minorHAnsi"/>
          <w:sz w:val="28"/>
          <w:szCs w:val="28"/>
        </w:rPr>
        <w:t>of people raise</w:t>
      </w:r>
      <w:r w:rsidR="000E33A5" w:rsidRPr="001879C6">
        <w:rPr>
          <w:rFonts w:eastAsiaTheme="minorHAnsi"/>
          <w:sz w:val="28"/>
          <w:szCs w:val="28"/>
        </w:rPr>
        <w:t>s</w:t>
      </w:r>
      <w:r w:rsidR="00E34008" w:rsidRPr="001879C6">
        <w:rPr>
          <w:rFonts w:eastAsiaTheme="minorHAnsi"/>
          <w:sz w:val="28"/>
          <w:szCs w:val="28"/>
        </w:rPr>
        <w:t xml:space="preserve"> especially troubling Fourth Amendment concerns.</w:t>
      </w:r>
      <w:r w:rsidR="000E33A5" w:rsidRPr="001879C6">
        <w:rPr>
          <w:rFonts w:eastAsiaTheme="minorHAnsi"/>
          <w:sz w:val="28"/>
          <w:szCs w:val="28"/>
        </w:rPr>
        <w:t xml:space="preserve"> </w:t>
      </w:r>
      <w:r w:rsidR="00E34008" w:rsidRPr="001879C6">
        <w:rPr>
          <w:rFonts w:eastAsiaTheme="minorHAnsi"/>
          <w:i/>
          <w:sz w:val="28"/>
          <w:szCs w:val="28"/>
        </w:rPr>
        <w:t>United States v. Marquez</w:t>
      </w:r>
      <w:r w:rsidR="00E34008" w:rsidRPr="001879C6">
        <w:rPr>
          <w:rFonts w:eastAsiaTheme="minorHAnsi"/>
          <w:sz w:val="28"/>
          <w:szCs w:val="28"/>
        </w:rPr>
        <w:t xml:space="preserve">, 605 F.3d 604, 610 (8th Cir. 2010); </w:t>
      </w:r>
      <w:r w:rsidR="00E34008" w:rsidRPr="001879C6">
        <w:rPr>
          <w:rFonts w:eastAsiaTheme="minorHAnsi"/>
          <w:i/>
          <w:sz w:val="28"/>
          <w:szCs w:val="28"/>
        </w:rPr>
        <w:t>accord</w:t>
      </w:r>
      <w:r w:rsidR="00E34008" w:rsidRPr="001879C6">
        <w:rPr>
          <w:rFonts w:eastAsiaTheme="minorHAnsi"/>
          <w:sz w:val="28"/>
          <w:szCs w:val="28"/>
        </w:rPr>
        <w:t xml:space="preserve"> </w:t>
      </w:r>
      <w:r w:rsidR="00E34008" w:rsidRPr="001879C6">
        <w:rPr>
          <w:rFonts w:eastAsiaTheme="minorHAnsi"/>
          <w:i/>
          <w:sz w:val="28"/>
          <w:szCs w:val="28"/>
        </w:rPr>
        <w:t>United States v. Garcia</w:t>
      </w:r>
      <w:r w:rsidR="00E34008" w:rsidRPr="001879C6">
        <w:rPr>
          <w:rFonts w:eastAsiaTheme="minorHAnsi"/>
          <w:sz w:val="28"/>
          <w:szCs w:val="28"/>
        </w:rPr>
        <w:t>,</w:t>
      </w:r>
      <w:r w:rsidR="000E33A5" w:rsidRPr="001879C6">
        <w:rPr>
          <w:rFonts w:eastAsiaTheme="minorHAnsi"/>
          <w:sz w:val="28"/>
          <w:szCs w:val="28"/>
        </w:rPr>
        <w:t xml:space="preserve"> </w:t>
      </w:r>
      <w:r w:rsidR="00E34008" w:rsidRPr="001879C6">
        <w:rPr>
          <w:rFonts w:eastAsiaTheme="minorHAnsi"/>
          <w:sz w:val="28"/>
          <w:szCs w:val="28"/>
        </w:rPr>
        <w:t>474 F.3d 994, 998–99 (7th Cir. 2007) (discussing concerns raised by “wholesale surveillance”</w:t>
      </w:r>
      <w:r w:rsidR="000E33A5" w:rsidRPr="001879C6">
        <w:rPr>
          <w:rFonts w:eastAsiaTheme="minorHAnsi"/>
          <w:sz w:val="28"/>
          <w:szCs w:val="28"/>
        </w:rPr>
        <w:t xml:space="preserve"> </w:t>
      </w:r>
      <w:r w:rsidR="00E34008" w:rsidRPr="001879C6">
        <w:rPr>
          <w:rFonts w:eastAsiaTheme="minorHAnsi"/>
          <w:sz w:val="28"/>
          <w:szCs w:val="28"/>
        </w:rPr>
        <w:t>and “mass surveillance” using GPS trackers)</w:t>
      </w:r>
      <w:r w:rsidR="000E33A5" w:rsidRPr="001879C6">
        <w:rPr>
          <w:rFonts w:eastAsiaTheme="minorHAnsi"/>
          <w:sz w:val="28"/>
          <w:szCs w:val="28"/>
        </w:rPr>
        <w:t>.</w:t>
      </w:r>
      <w:r w:rsidR="0045283B" w:rsidRPr="001879C6">
        <w:rPr>
          <w:rFonts w:eastAsiaTheme="minorHAnsi"/>
          <w:sz w:val="28"/>
          <w:szCs w:val="28"/>
        </w:rPr>
        <w:t xml:space="preserve"> </w:t>
      </w:r>
    </w:p>
    <w:p w14:paraId="17B56289" w14:textId="2D5F1EDE" w:rsidR="0045283B" w:rsidRPr="001879C6" w:rsidRDefault="0045283B" w:rsidP="001879C6">
      <w:pPr>
        <w:spacing w:afterLines="160" w:after="384" w:line="259" w:lineRule="auto"/>
        <w:jc w:val="both"/>
        <w:rPr>
          <w:rFonts w:eastAsiaTheme="minorHAnsi"/>
          <w:sz w:val="28"/>
          <w:szCs w:val="28"/>
        </w:rPr>
      </w:pPr>
      <w:r w:rsidRPr="001879C6">
        <w:rPr>
          <w:rFonts w:eastAsiaTheme="minorHAnsi"/>
          <w:sz w:val="28"/>
          <w:szCs w:val="28"/>
        </w:rPr>
        <w:t xml:space="preserve">Tower dumps involve the sort of “dragnet” surveillance that both the Framers and the Supreme Court have long feared. </w:t>
      </w:r>
      <w:r w:rsidRPr="001879C6">
        <w:rPr>
          <w:rFonts w:eastAsiaTheme="minorHAnsi"/>
          <w:i/>
          <w:sz w:val="28"/>
          <w:szCs w:val="28"/>
        </w:rPr>
        <w:t>See</w:t>
      </w:r>
      <w:r w:rsidRPr="001879C6">
        <w:rPr>
          <w:i/>
          <w:iCs/>
          <w:color w:val="000000"/>
          <w:sz w:val="28"/>
          <w:szCs w:val="28"/>
        </w:rPr>
        <w:t xml:space="preserve"> Carpenter</w:t>
      </w:r>
      <w:r w:rsidRPr="001879C6">
        <w:rPr>
          <w:iCs/>
          <w:color w:val="000000"/>
          <w:sz w:val="28"/>
          <w:szCs w:val="28"/>
        </w:rPr>
        <w:t xml:space="preserve">, </w:t>
      </w:r>
      <w:r w:rsidRPr="001879C6">
        <w:rPr>
          <w:color w:val="000000"/>
          <w:sz w:val="28"/>
          <w:szCs w:val="28"/>
        </w:rPr>
        <w:t>138 S. Ct. at 2215 (</w:t>
      </w:r>
      <w:r w:rsidR="002001D5" w:rsidRPr="001879C6">
        <w:rPr>
          <w:color w:val="000000"/>
          <w:sz w:val="28"/>
          <w:szCs w:val="28"/>
        </w:rPr>
        <w:t xml:space="preserve">noting that the </w:t>
      </w:r>
      <w:r w:rsidR="002001D5" w:rsidRPr="001879C6">
        <w:rPr>
          <w:i/>
          <w:color w:val="000000"/>
          <w:sz w:val="28"/>
          <w:szCs w:val="28"/>
        </w:rPr>
        <w:t xml:space="preserve">Knotts </w:t>
      </w:r>
      <w:r w:rsidRPr="001879C6">
        <w:rPr>
          <w:color w:val="000000"/>
          <w:sz w:val="28"/>
          <w:szCs w:val="28"/>
          <w:shd w:val="clear" w:color="auto" w:fill="FFFFFF"/>
        </w:rPr>
        <w:t>Court was careful to distinguish between the rudimentary tracking facilitated by the beeper and more sweeping modes of surveillance.”)</w:t>
      </w:r>
      <w:r w:rsidR="002001D5" w:rsidRPr="001879C6">
        <w:rPr>
          <w:color w:val="000000"/>
          <w:sz w:val="28"/>
          <w:szCs w:val="28"/>
          <w:shd w:val="clear" w:color="auto" w:fill="FFFFFF"/>
        </w:rPr>
        <w:t xml:space="preserve">; </w:t>
      </w:r>
      <w:r w:rsidR="002001D5" w:rsidRPr="001879C6">
        <w:rPr>
          <w:i/>
          <w:color w:val="000000"/>
          <w:sz w:val="28"/>
          <w:szCs w:val="28"/>
          <w:shd w:val="clear" w:color="auto" w:fill="FFFFFF"/>
        </w:rPr>
        <w:t>see also</w:t>
      </w:r>
      <w:r w:rsidRPr="001879C6">
        <w:rPr>
          <w:rFonts w:eastAsiaTheme="minorHAnsi"/>
          <w:sz w:val="28"/>
          <w:szCs w:val="28"/>
        </w:rPr>
        <w:t xml:space="preserve"> </w:t>
      </w:r>
      <w:r w:rsidRPr="001879C6">
        <w:rPr>
          <w:rFonts w:eastAsiaTheme="minorHAnsi"/>
          <w:i/>
          <w:sz w:val="28"/>
          <w:szCs w:val="28"/>
        </w:rPr>
        <w:t>In re Application of the United States for an Order Authorizing the Release of Historical Cell-Site Information</w:t>
      </w:r>
      <w:r w:rsidRPr="001879C6">
        <w:rPr>
          <w:rFonts w:eastAsiaTheme="minorHAnsi"/>
          <w:sz w:val="28"/>
          <w:szCs w:val="28"/>
        </w:rPr>
        <w:t xml:space="preserve">, 809 F. Supp. 2d 113, 119 (E.D.N.Y. 2011) (Garaufis, J.) (“[T]he collection of cell-site-location records effectively enables ‘mass’ or </w:t>
      </w:r>
      <w:r w:rsidRPr="001879C6">
        <w:rPr>
          <w:rFonts w:eastAsiaTheme="minorHAnsi"/>
          <w:sz w:val="28"/>
          <w:szCs w:val="28"/>
        </w:rPr>
        <w:lastRenderedPageBreak/>
        <w:t>‘wholesale’ electronic surveillance, and raises greater Fourth Amendment concerns than a single electronically surveilled car trip.”).</w:t>
      </w:r>
    </w:p>
    <w:p w14:paraId="38A305CE" w14:textId="5CAFBF68" w:rsidR="00581F3C" w:rsidRPr="00581F3C" w:rsidRDefault="00581F3C" w:rsidP="00581F3C">
      <w:pPr>
        <w:spacing w:afterLines="160" w:after="384" w:line="259" w:lineRule="auto"/>
        <w:jc w:val="both"/>
        <w:rPr>
          <w:color w:val="000000"/>
          <w:sz w:val="28"/>
          <w:szCs w:val="28"/>
        </w:rPr>
      </w:pPr>
      <w:r>
        <w:rPr>
          <w:color w:val="000000"/>
          <w:sz w:val="28"/>
          <w:szCs w:val="28"/>
        </w:rPr>
        <w:t>The records in this case came from nine separate cell towers, owned by five diffe</w:t>
      </w:r>
      <w:r w:rsidR="00674B72">
        <w:rPr>
          <w:color w:val="000000"/>
          <w:sz w:val="28"/>
          <w:szCs w:val="28"/>
        </w:rPr>
        <w:t xml:space="preserve">rent wireless carriers, for at least a full hour. </w:t>
      </w:r>
      <w:r>
        <w:rPr>
          <w:color w:val="000000"/>
          <w:sz w:val="28"/>
          <w:szCs w:val="28"/>
        </w:rPr>
        <w:t>One carrier produced 5,764 record entries</w:t>
      </w:r>
      <w:r w:rsidR="00674B72">
        <w:rPr>
          <w:color w:val="000000"/>
          <w:sz w:val="28"/>
          <w:szCs w:val="28"/>
        </w:rPr>
        <w:t xml:space="preserve"> over a 24-hour period</w:t>
      </w:r>
      <w:r w:rsidR="00AE3E33">
        <w:rPr>
          <w:color w:val="000000"/>
          <w:sz w:val="28"/>
          <w:szCs w:val="28"/>
        </w:rPr>
        <w:t xml:space="preserve">, with just one relevant call alleged. Altogether, there were 6,779 record entries, only 12 of which are alleged to have any relevance to this case. </w:t>
      </w:r>
      <w:r>
        <w:rPr>
          <w:color w:val="000000"/>
          <w:sz w:val="28"/>
          <w:szCs w:val="28"/>
        </w:rPr>
        <w:t>The rest of the data belonged to non-suspects</w:t>
      </w:r>
      <w:r w:rsidR="00674B72">
        <w:rPr>
          <w:color w:val="000000"/>
          <w:sz w:val="28"/>
          <w:szCs w:val="28"/>
        </w:rPr>
        <w:t xml:space="preserve"> – admittedly innocent people. Or t</w:t>
      </w:r>
      <w:r>
        <w:rPr>
          <w:color w:val="000000"/>
          <w:sz w:val="28"/>
          <w:szCs w:val="28"/>
        </w:rPr>
        <w:t>o put it anot</w:t>
      </w:r>
      <w:r w:rsidR="00AE3E33">
        <w:rPr>
          <w:color w:val="000000"/>
          <w:sz w:val="28"/>
          <w:szCs w:val="28"/>
        </w:rPr>
        <w:t>her way, just 0.18</w:t>
      </w:r>
      <w:r>
        <w:rPr>
          <w:color w:val="000000"/>
          <w:sz w:val="28"/>
          <w:szCs w:val="28"/>
        </w:rPr>
        <w:t xml:space="preserve">% of </w:t>
      </w:r>
      <w:r w:rsidR="00AE3E33">
        <w:rPr>
          <w:color w:val="000000"/>
          <w:sz w:val="28"/>
          <w:szCs w:val="28"/>
        </w:rPr>
        <w:t>the returned data produced evidence related to the investigation of this case</w:t>
      </w:r>
      <w:r>
        <w:rPr>
          <w:color w:val="000000"/>
          <w:sz w:val="28"/>
          <w:szCs w:val="28"/>
        </w:rPr>
        <w:t>. In short, the government had no cause (let alone</w:t>
      </w:r>
      <w:r w:rsidR="00AE3E33">
        <w:rPr>
          <w:color w:val="000000"/>
          <w:sz w:val="28"/>
          <w:szCs w:val="28"/>
        </w:rPr>
        <w:t xml:space="preserve"> probable cause) to search 99.82</w:t>
      </w:r>
      <w:r>
        <w:rPr>
          <w:color w:val="000000"/>
          <w:sz w:val="28"/>
          <w:szCs w:val="28"/>
        </w:rPr>
        <w:t>% of the priva</w:t>
      </w:r>
      <w:r w:rsidR="00AE3E33">
        <w:rPr>
          <w:color w:val="000000"/>
          <w:sz w:val="28"/>
          <w:szCs w:val="28"/>
        </w:rPr>
        <w:t>te data it obtained</w:t>
      </w:r>
      <w:r>
        <w:rPr>
          <w:color w:val="000000"/>
          <w:sz w:val="28"/>
          <w:szCs w:val="28"/>
        </w:rPr>
        <w:t xml:space="preserve">. Such a miserable fishing expedition is the hallmark of an overbroad, unparticularized general </w:t>
      </w:r>
      <w:r w:rsidR="00AE3E33">
        <w:rPr>
          <w:color w:val="000000"/>
          <w:sz w:val="28"/>
          <w:szCs w:val="28"/>
        </w:rPr>
        <w:t xml:space="preserve">warrant </w:t>
      </w:r>
      <w:r>
        <w:rPr>
          <w:color w:val="000000"/>
          <w:sz w:val="28"/>
          <w:szCs w:val="28"/>
        </w:rPr>
        <w:t xml:space="preserve">prohibited by the Fourth Amendment and Art. I, </w:t>
      </w:r>
      <w:r>
        <w:rPr>
          <w:sz w:val="28"/>
          <w:szCs w:val="28"/>
        </w:rPr>
        <w:t>§ 20.</w:t>
      </w:r>
      <w:r w:rsidR="00AE3E33">
        <w:rPr>
          <w:rStyle w:val="FootnoteReference"/>
          <w:sz w:val="28"/>
          <w:szCs w:val="28"/>
        </w:rPr>
        <w:footnoteReference w:id="16"/>
      </w:r>
      <w:r>
        <w:rPr>
          <w:sz w:val="28"/>
          <w:szCs w:val="28"/>
        </w:rPr>
        <w:t xml:space="preserve"> </w:t>
      </w:r>
    </w:p>
    <w:p w14:paraId="7AD58E3F" w14:textId="77777777" w:rsidR="00050B88" w:rsidRDefault="00D7017C" w:rsidP="00050B88">
      <w:pPr>
        <w:spacing w:afterLines="160" w:after="384" w:line="259" w:lineRule="auto"/>
        <w:jc w:val="both"/>
        <w:rPr>
          <w:color w:val="000000"/>
          <w:sz w:val="28"/>
          <w:szCs w:val="28"/>
        </w:rPr>
      </w:pPr>
      <w:r w:rsidRPr="00587F4C">
        <w:rPr>
          <w:color w:val="000000"/>
          <w:sz w:val="28"/>
          <w:szCs w:val="28"/>
          <w:shd w:val="clear" w:color="auto" w:fill="FFFFFF"/>
        </w:rPr>
        <w:t>By definition, t</w:t>
      </w:r>
      <w:r w:rsidR="00760262" w:rsidRPr="00587F4C">
        <w:rPr>
          <w:color w:val="000000"/>
          <w:sz w:val="28"/>
          <w:szCs w:val="28"/>
          <w:shd w:val="clear" w:color="auto" w:fill="FFFFFF"/>
        </w:rPr>
        <w:t>ower dump</w:t>
      </w:r>
      <w:r w:rsidRPr="00587F4C">
        <w:rPr>
          <w:color w:val="000000"/>
          <w:sz w:val="28"/>
          <w:szCs w:val="28"/>
          <w:shd w:val="clear" w:color="auto" w:fill="FFFFFF"/>
        </w:rPr>
        <w:t>s seek</w:t>
      </w:r>
      <w:r w:rsidR="00760262" w:rsidRPr="00587F4C">
        <w:rPr>
          <w:color w:val="000000"/>
          <w:sz w:val="28"/>
          <w:szCs w:val="28"/>
          <w:shd w:val="clear" w:color="auto" w:fill="FFFFFF"/>
        </w:rPr>
        <w:t xml:space="preserve"> an untold amount of private cell phone records belonging to an untold number of individuals, who are unknown to the agents requesting the court order. The absence of any individualized probable cause makes a tower dump constitutionally overbroad under the Fourth Amendment and </w:t>
      </w:r>
      <w:r w:rsidR="00760262" w:rsidRPr="00587F4C">
        <w:rPr>
          <w:sz w:val="28"/>
          <w:szCs w:val="28"/>
        </w:rPr>
        <w:t xml:space="preserve">Art. I, § 20, the </w:t>
      </w:r>
      <w:r w:rsidR="001879C6" w:rsidRPr="00587F4C">
        <w:rPr>
          <w:sz w:val="28"/>
          <w:szCs w:val="28"/>
        </w:rPr>
        <w:t>latter</w:t>
      </w:r>
      <w:r w:rsidR="00760262" w:rsidRPr="00587F4C">
        <w:rPr>
          <w:sz w:val="28"/>
          <w:szCs w:val="28"/>
        </w:rPr>
        <w:t xml:space="preserve"> of which prohibits general warrants</w:t>
      </w:r>
      <w:r w:rsidR="00581F3C" w:rsidRPr="00587F4C">
        <w:rPr>
          <w:sz w:val="28"/>
          <w:szCs w:val="28"/>
        </w:rPr>
        <w:t xml:space="preserve"> by name</w:t>
      </w:r>
      <w:r w:rsidR="00760262" w:rsidRPr="00587F4C">
        <w:rPr>
          <w:sz w:val="28"/>
          <w:szCs w:val="28"/>
        </w:rPr>
        <w:t>. These fundamental guarantees must, at minimum, “assure … preservation of that degree of privacy against government that existed when the Fourth Amendment was adopted.</w:t>
      </w:r>
      <w:r w:rsidR="00760262" w:rsidRPr="00587F4C">
        <w:rPr>
          <w:color w:val="000000"/>
          <w:sz w:val="28"/>
          <w:szCs w:val="28"/>
        </w:rPr>
        <w:t xml:space="preserve"> </w:t>
      </w:r>
      <w:r w:rsidR="005A6077" w:rsidRPr="00050B88">
        <w:rPr>
          <w:i/>
          <w:iCs/>
          <w:color w:val="000000"/>
          <w:sz w:val="28"/>
          <w:szCs w:val="28"/>
        </w:rPr>
        <w:t>Carpenter</w:t>
      </w:r>
      <w:r w:rsidR="00760262" w:rsidRPr="00050B88">
        <w:rPr>
          <w:i/>
          <w:iCs/>
          <w:color w:val="000000"/>
          <w:sz w:val="28"/>
          <w:szCs w:val="28"/>
        </w:rPr>
        <w:t xml:space="preserve">, </w:t>
      </w:r>
      <w:r w:rsidR="005A6077" w:rsidRPr="00050B88">
        <w:rPr>
          <w:color w:val="000000"/>
          <w:sz w:val="28"/>
          <w:szCs w:val="28"/>
        </w:rPr>
        <w:t xml:space="preserve">138 S. Ct. </w:t>
      </w:r>
      <w:r w:rsidR="00760262" w:rsidRPr="00050B88">
        <w:rPr>
          <w:color w:val="000000"/>
          <w:sz w:val="28"/>
          <w:szCs w:val="28"/>
        </w:rPr>
        <w:t>at</w:t>
      </w:r>
      <w:r w:rsidR="005A6077" w:rsidRPr="00050B88">
        <w:rPr>
          <w:color w:val="000000"/>
          <w:sz w:val="28"/>
          <w:szCs w:val="28"/>
        </w:rPr>
        <w:t xml:space="preserve"> 2214</w:t>
      </w:r>
      <w:r w:rsidR="00760262" w:rsidRPr="00050B88">
        <w:rPr>
          <w:color w:val="000000"/>
          <w:sz w:val="28"/>
          <w:szCs w:val="28"/>
        </w:rPr>
        <w:t xml:space="preserve">. Here, that </w:t>
      </w:r>
      <w:r w:rsidR="001879C6" w:rsidRPr="00050B88">
        <w:rPr>
          <w:color w:val="000000"/>
          <w:sz w:val="28"/>
          <w:szCs w:val="28"/>
        </w:rPr>
        <w:t xml:space="preserve">means recognizing a tower dump for the general warrant </w:t>
      </w:r>
      <w:r w:rsidRPr="00050B88">
        <w:rPr>
          <w:color w:val="000000"/>
          <w:sz w:val="28"/>
          <w:szCs w:val="28"/>
        </w:rPr>
        <w:t xml:space="preserve">that </w:t>
      </w:r>
      <w:r w:rsidR="001879C6" w:rsidRPr="00050B88">
        <w:rPr>
          <w:color w:val="000000"/>
          <w:sz w:val="28"/>
          <w:szCs w:val="28"/>
        </w:rPr>
        <w:t>it is.</w:t>
      </w:r>
      <w:r w:rsidRPr="00050B88">
        <w:rPr>
          <w:color w:val="000000"/>
          <w:sz w:val="28"/>
          <w:szCs w:val="28"/>
        </w:rPr>
        <w:t xml:space="preserve"> </w:t>
      </w:r>
    </w:p>
    <w:p w14:paraId="15D46261" w14:textId="55C7805C" w:rsidR="00342C4E" w:rsidRPr="00674B72" w:rsidRDefault="00342C4E" w:rsidP="00587F4C">
      <w:pPr>
        <w:spacing w:afterLines="160" w:after="384" w:line="259" w:lineRule="auto"/>
        <w:jc w:val="both"/>
        <w:rPr>
          <w:color w:val="000000"/>
          <w:sz w:val="28"/>
          <w:szCs w:val="28"/>
        </w:rPr>
      </w:pPr>
      <w:r w:rsidRPr="00050B88">
        <w:rPr>
          <w:rFonts w:eastAsiaTheme="minorHAnsi"/>
          <w:sz w:val="28"/>
          <w:szCs w:val="28"/>
        </w:rPr>
        <w:t>Allowing the government to obtain tower-dump data risks sanctioning the sort of “general</w:t>
      </w:r>
      <w:r w:rsidRPr="00050B88">
        <w:rPr>
          <w:color w:val="000000"/>
          <w:sz w:val="28"/>
          <w:szCs w:val="28"/>
        </w:rPr>
        <w:t xml:space="preserve"> </w:t>
      </w:r>
      <w:r w:rsidRPr="00050B88">
        <w:rPr>
          <w:rFonts w:eastAsiaTheme="minorHAnsi"/>
          <w:sz w:val="28"/>
          <w:szCs w:val="28"/>
        </w:rPr>
        <w:t xml:space="preserve">warrant” that the Fourth Amendment’s framers so reviled. </w:t>
      </w:r>
      <w:r w:rsidRPr="000812A7">
        <w:rPr>
          <w:rFonts w:eastAsiaTheme="minorHAnsi"/>
          <w:i/>
          <w:sz w:val="28"/>
          <w:szCs w:val="28"/>
        </w:rPr>
        <w:t>See Stanford v. Texas</w:t>
      </w:r>
      <w:r w:rsidRPr="00050B88">
        <w:rPr>
          <w:rFonts w:eastAsiaTheme="minorHAnsi"/>
          <w:sz w:val="28"/>
          <w:szCs w:val="28"/>
        </w:rPr>
        <w:t>, 379 U.S. 476,</w:t>
      </w:r>
      <w:r w:rsidRPr="00050B88">
        <w:rPr>
          <w:color w:val="000000"/>
          <w:sz w:val="28"/>
          <w:szCs w:val="28"/>
        </w:rPr>
        <w:t xml:space="preserve"> </w:t>
      </w:r>
      <w:r w:rsidRPr="00050B88">
        <w:rPr>
          <w:rFonts w:eastAsiaTheme="minorHAnsi"/>
          <w:sz w:val="28"/>
          <w:szCs w:val="28"/>
        </w:rPr>
        <w:t>481–82 (1965). As the Ninth Circuit observed, requests by “law enforcement for broad</w:t>
      </w:r>
      <w:r w:rsidRPr="00050B88">
        <w:rPr>
          <w:color w:val="000000"/>
          <w:sz w:val="28"/>
          <w:szCs w:val="28"/>
        </w:rPr>
        <w:t xml:space="preserve"> </w:t>
      </w:r>
      <w:r w:rsidRPr="00050B88">
        <w:rPr>
          <w:rFonts w:eastAsiaTheme="minorHAnsi"/>
          <w:sz w:val="28"/>
          <w:szCs w:val="28"/>
        </w:rPr>
        <w:t>authorization to examine electronic records . . . creates a serious risk that every warrant for</w:t>
      </w:r>
      <w:r w:rsidRPr="00050B88">
        <w:rPr>
          <w:color w:val="000000"/>
          <w:sz w:val="28"/>
          <w:szCs w:val="28"/>
        </w:rPr>
        <w:t xml:space="preserve"> </w:t>
      </w:r>
      <w:r w:rsidRPr="00050B88">
        <w:rPr>
          <w:rFonts w:eastAsiaTheme="minorHAnsi"/>
          <w:sz w:val="28"/>
          <w:szCs w:val="28"/>
        </w:rPr>
        <w:t>electronic information will become, in effect, a general warrant, rendering the Fourth</w:t>
      </w:r>
      <w:r w:rsidRPr="00050B88">
        <w:rPr>
          <w:color w:val="000000"/>
          <w:sz w:val="28"/>
          <w:szCs w:val="28"/>
        </w:rPr>
        <w:t xml:space="preserve"> </w:t>
      </w:r>
      <w:r w:rsidRPr="00050B88">
        <w:rPr>
          <w:rFonts w:eastAsiaTheme="minorHAnsi"/>
          <w:sz w:val="28"/>
          <w:szCs w:val="28"/>
        </w:rPr>
        <w:t xml:space="preserve">Amendment irrelevant.” </w:t>
      </w:r>
      <w:r w:rsidRPr="000812A7">
        <w:rPr>
          <w:rFonts w:eastAsiaTheme="minorHAnsi"/>
          <w:i/>
          <w:sz w:val="28"/>
          <w:szCs w:val="28"/>
        </w:rPr>
        <w:t>United States v. Comprehensive Drug Testing, Inc.</w:t>
      </w:r>
      <w:r w:rsidRPr="00050B88">
        <w:rPr>
          <w:rFonts w:eastAsiaTheme="minorHAnsi"/>
          <w:sz w:val="28"/>
          <w:szCs w:val="28"/>
        </w:rPr>
        <w:t>, 621 F.3d 1162,</w:t>
      </w:r>
      <w:r w:rsidRPr="00050B88">
        <w:rPr>
          <w:color w:val="000000"/>
          <w:sz w:val="28"/>
          <w:szCs w:val="28"/>
        </w:rPr>
        <w:t xml:space="preserve"> </w:t>
      </w:r>
      <w:r w:rsidRPr="00050B88">
        <w:rPr>
          <w:rFonts w:eastAsiaTheme="minorHAnsi"/>
          <w:sz w:val="28"/>
          <w:szCs w:val="28"/>
        </w:rPr>
        <w:t xml:space="preserve">1176 (9th Cir. 2010) (en banc) (per curiam); </w:t>
      </w:r>
      <w:r w:rsidRPr="000812A7">
        <w:rPr>
          <w:rFonts w:eastAsiaTheme="minorHAnsi"/>
          <w:i/>
          <w:sz w:val="28"/>
          <w:szCs w:val="28"/>
        </w:rPr>
        <w:t>accord United States v. Galpin</w:t>
      </w:r>
      <w:r w:rsidRPr="00050B88">
        <w:rPr>
          <w:rFonts w:eastAsiaTheme="minorHAnsi"/>
          <w:sz w:val="28"/>
          <w:szCs w:val="28"/>
        </w:rPr>
        <w:t>, 720 F.3d 436, 447</w:t>
      </w:r>
      <w:r w:rsidRPr="00050B88">
        <w:rPr>
          <w:color w:val="000000"/>
          <w:sz w:val="28"/>
          <w:szCs w:val="28"/>
        </w:rPr>
        <w:t xml:space="preserve"> </w:t>
      </w:r>
      <w:r w:rsidRPr="00050B88">
        <w:rPr>
          <w:rFonts w:eastAsiaTheme="minorHAnsi"/>
          <w:sz w:val="28"/>
          <w:szCs w:val="28"/>
        </w:rPr>
        <w:t>(2d Cir. 2013). Surely, a reported gunshot in a residential neighborhood would not allow</w:t>
      </w:r>
      <w:r w:rsidRPr="00050B88">
        <w:rPr>
          <w:color w:val="000000"/>
          <w:sz w:val="28"/>
          <w:szCs w:val="28"/>
        </w:rPr>
        <w:t xml:space="preserve"> </w:t>
      </w:r>
      <w:r w:rsidRPr="00050B88">
        <w:rPr>
          <w:rFonts w:eastAsiaTheme="minorHAnsi"/>
          <w:sz w:val="28"/>
          <w:szCs w:val="28"/>
        </w:rPr>
        <w:lastRenderedPageBreak/>
        <w:t>nonconsensual searches of every home in a several-block radius in hopes of identifying a suspect.</w:t>
      </w:r>
      <w:r w:rsidRPr="00050B88">
        <w:rPr>
          <w:color w:val="000000"/>
          <w:sz w:val="28"/>
          <w:szCs w:val="28"/>
        </w:rPr>
        <w:t xml:space="preserve"> </w:t>
      </w:r>
      <w:r w:rsidRPr="00050B88">
        <w:rPr>
          <w:rFonts w:eastAsiaTheme="minorHAnsi"/>
          <w:sz w:val="28"/>
          <w:szCs w:val="28"/>
        </w:rPr>
        <w:t>Likewise, a theft on a busy street downtown would not permit frisks and bag searches of every person</w:t>
      </w:r>
      <w:r w:rsidRPr="00050B88">
        <w:rPr>
          <w:color w:val="000000"/>
          <w:sz w:val="28"/>
          <w:szCs w:val="28"/>
        </w:rPr>
        <w:t xml:space="preserve"> </w:t>
      </w:r>
      <w:r w:rsidRPr="00050B88">
        <w:rPr>
          <w:rFonts w:eastAsiaTheme="minorHAnsi"/>
          <w:sz w:val="28"/>
          <w:szCs w:val="28"/>
        </w:rPr>
        <w:t>walking along</w:t>
      </w:r>
      <w:r w:rsidR="00EC79AC" w:rsidRPr="00050B88">
        <w:rPr>
          <w:rFonts w:eastAsiaTheme="minorHAnsi"/>
          <w:sz w:val="28"/>
          <w:szCs w:val="28"/>
        </w:rPr>
        <w:t xml:space="preserve"> the sidewalk</w:t>
      </w:r>
      <w:r w:rsidRPr="00050B88">
        <w:rPr>
          <w:rFonts w:eastAsiaTheme="minorHAnsi"/>
          <w:sz w:val="28"/>
          <w:szCs w:val="28"/>
        </w:rPr>
        <w:t>. Dragnet searches are no more permissible when carried out using</w:t>
      </w:r>
      <w:r w:rsidRPr="00050B88">
        <w:rPr>
          <w:color w:val="000000"/>
          <w:sz w:val="28"/>
          <w:szCs w:val="28"/>
        </w:rPr>
        <w:t xml:space="preserve"> </w:t>
      </w:r>
      <w:r w:rsidRPr="00050B88">
        <w:rPr>
          <w:rFonts w:eastAsiaTheme="minorHAnsi"/>
          <w:sz w:val="28"/>
          <w:szCs w:val="28"/>
        </w:rPr>
        <w:t>electronic means; a claim by the government that a criminal suspect whose email address it does</w:t>
      </w:r>
      <w:r w:rsidRPr="00050B88">
        <w:rPr>
          <w:color w:val="000000"/>
          <w:sz w:val="28"/>
          <w:szCs w:val="28"/>
        </w:rPr>
        <w:t xml:space="preserve"> </w:t>
      </w:r>
      <w:r w:rsidRPr="00050B88">
        <w:rPr>
          <w:rFonts w:eastAsiaTheme="minorHAnsi"/>
          <w:sz w:val="28"/>
          <w:szCs w:val="28"/>
        </w:rPr>
        <w:t>not know sent a potentially incriminating email on a particular day would never authorize it to</w:t>
      </w:r>
      <w:r w:rsidRPr="00050B88">
        <w:rPr>
          <w:color w:val="000000"/>
          <w:sz w:val="28"/>
          <w:szCs w:val="28"/>
        </w:rPr>
        <w:t xml:space="preserve"> </w:t>
      </w:r>
      <w:r w:rsidRPr="00050B88">
        <w:rPr>
          <w:rFonts w:eastAsiaTheme="minorHAnsi"/>
          <w:sz w:val="28"/>
          <w:szCs w:val="28"/>
        </w:rPr>
        <w:t>ask Google or Yahoo to produce a catal</w:t>
      </w:r>
      <w:r w:rsidR="00EC79AC" w:rsidRPr="00050B88">
        <w:rPr>
          <w:rFonts w:eastAsiaTheme="minorHAnsi"/>
          <w:sz w:val="28"/>
          <w:szCs w:val="28"/>
        </w:rPr>
        <w:t>ogue of every email sent from an</w:t>
      </w:r>
      <w:r w:rsidRPr="00050B88">
        <w:rPr>
          <w:rFonts w:eastAsiaTheme="minorHAnsi"/>
          <w:sz w:val="28"/>
          <w:szCs w:val="28"/>
        </w:rPr>
        <w:t xml:space="preserve"> internet</w:t>
      </w:r>
      <w:r w:rsidR="00EC79AC" w:rsidRPr="00050B88">
        <w:rPr>
          <w:rFonts w:eastAsiaTheme="minorHAnsi"/>
          <w:sz w:val="28"/>
          <w:szCs w:val="28"/>
        </w:rPr>
        <w:t xml:space="preserve"> </w:t>
      </w:r>
      <w:r w:rsidR="00EC79AC" w:rsidRPr="00674B72">
        <w:rPr>
          <w:rFonts w:eastAsiaTheme="minorHAnsi"/>
          <w:sz w:val="28"/>
          <w:szCs w:val="28"/>
        </w:rPr>
        <w:t xml:space="preserve">protocol address on that day. Grants of “unbridled authority,” </w:t>
      </w:r>
      <w:r w:rsidR="00EC79AC" w:rsidRPr="000812A7">
        <w:rPr>
          <w:rFonts w:eastAsiaTheme="minorHAnsi"/>
          <w:i/>
          <w:sz w:val="28"/>
          <w:szCs w:val="28"/>
        </w:rPr>
        <w:t>Stanford</w:t>
      </w:r>
      <w:r w:rsidR="00EC79AC" w:rsidRPr="00674B72">
        <w:rPr>
          <w:rFonts w:eastAsiaTheme="minorHAnsi"/>
          <w:sz w:val="28"/>
          <w:szCs w:val="28"/>
        </w:rPr>
        <w:t>, 379 U.S. at 481, are unreasonable under the Fourth Amendment, no matter their form.</w:t>
      </w:r>
    </w:p>
    <w:p w14:paraId="5A137BA4" w14:textId="1636AC3A" w:rsidR="00580D1A" w:rsidRPr="00674B72" w:rsidRDefault="00382F4E" w:rsidP="00587F4C">
      <w:pPr>
        <w:pStyle w:val="ListParagraph"/>
        <w:numPr>
          <w:ilvl w:val="0"/>
          <w:numId w:val="3"/>
        </w:numPr>
        <w:spacing w:after="160" w:line="259" w:lineRule="auto"/>
        <w:jc w:val="both"/>
        <w:rPr>
          <w:b/>
          <w:sz w:val="28"/>
          <w:szCs w:val="28"/>
        </w:rPr>
      </w:pPr>
      <w:r w:rsidRPr="00674B72">
        <w:rPr>
          <w:b/>
          <w:sz w:val="28"/>
          <w:szCs w:val="28"/>
        </w:rPr>
        <w:t>A Tower Dump is a Search Under the Fourth Amendment</w:t>
      </w:r>
    </w:p>
    <w:p w14:paraId="48CAB9D5" w14:textId="32AD9FB0" w:rsidR="00587F4C" w:rsidRDefault="00B1613E" w:rsidP="007B4CDD">
      <w:pPr>
        <w:autoSpaceDE w:val="0"/>
        <w:autoSpaceDN w:val="0"/>
        <w:adjustRightInd w:val="0"/>
        <w:spacing w:afterLines="160" w:after="384" w:line="259" w:lineRule="auto"/>
        <w:jc w:val="both"/>
        <w:rPr>
          <w:sz w:val="28"/>
          <w:szCs w:val="28"/>
        </w:rPr>
      </w:pPr>
      <w:r w:rsidRPr="00674B72">
        <w:rPr>
          <w:sz w:val="28"/>
          <w:szCs w:val="28"/>
        </w:rPr>
        <w:t>Should this Court find that tower dumps are not outright impermissible, the Fourth Amendment would demand the kind of close judicial scrutiny associated with a warrant based on probable cause</w:t>
      </w:r>
      <w:r w:rsidR="00F84F76" w:rsidRPr="00674B72">
        <w:rPr>
          <w:sz w:val="28"/>
          <w:szCs w:val="28"/>
        </w:rPr>
        <w:t>.</w:t>
      </w:r>
    </w:p>
    <w:p w14:paraId="24F2CA0F" w14:textId="44BA855A" w:rsidR="00B24230" w:rsidRDefault="006C1D4A" w:rsidP="007B4CDD">
      <w:pPr>
        <w:spacing w:after="160" w:line="259" w:lineRule="auto"/>
        <w:jc w:val="both"/>
        <w:rPr>
          <w:sz w:val="28"/>
          <w:szCs w:val="28"/>
        </w:rPr>
      </w:pPr>
      <w:r w:rsidRPr="00587F4C">
        <w:rPr>
          <w:sz w:val="28"/>
          <w:szCs w:val="28"/>
        </w:rPr>
        <w:t>This is</w:t>
      </w:r>
      <w:r w:rsidR="00B1613E" w:rsidRPr="00587F4C">
        <w:rPr>
          <w:sz w:val="28"/>
          <w:szCs w:val="28"/>
        </w:rPr>
        <w:t>, in essence,</w:t>
      </w:r>
      <w:r w:rsidRPr="00587F4C">
        <w:rPr>
          <w:sz w:val="28"/>
          <w:szCs w:val="28"/>
        </w:rPr>
        <w:t xml:space="preserve"> a case of first impression. </w:t>
      </w:r>
      <w:r w:rsidR="00CD3C6C" w:rsidRPr="00587F4C">
        <w:rPr>
          <w:sz w:val="28"/>
          <w:szCs w:val="28"/>
        </w:rPr>
        <w:t>Tower dumps have been used with increasing frequency used in recent years,</w:t>
      </w:r>
      <w:r w:rsidR="00CD3C6C" w:rsidRPr="00587F4C">
        <w:rPr>
          <w:rStyle w:val="FootnoteReference"/>
          <w:sz w:val="28"/>
          <w:szCs w:val="28"/>
        </w:rPr>
        <w:footnoteReference w:id="17"/>
      </w:r>
      <w:r w:rsidR="00CD3C6C" w:rsidRPr="00587F4C">
        <w:rPr>
          <w:sz w:val="28"/>
          <w:szCs w:val="28"/>
        </w:rPr>
        <w:t xml:space="preserve"> but t</w:t>
      </w:r>
      <w:r w:rsidR="00874E90" w:rsidRPr="00587F4C">
        <w:rPr>
          <w:sz w:val="28"/>
          <w:szCs w:val="28"/>
        </w:rPr>
        <w:t xml:space="preserve">here </w:t>
      </w:r>
      <w:r w:rsidR="00B1613E" w:rsidRPr="00587F4C">
        <w:rPr>
          <w:sz w:val="28"/>
          <w:szCs w:val="28"/>
        </w:rPr>
        <w:t xml:space="preserve">are few judicial </w:t>
      </w:r>
      <w:r w:rsidR="0014703E" w:rsidRPr="00587F4C">
        <w:rPr>
          <w:sz w:val="28"/>
          <w:szCs w:val="28"/>
        </w:rPr>
        <w:t>opinions</w:t>
      </w:r>
      <w:r w:rsidR="00874E90" w:rsidRPr="00587F4C">
        <w:rPr>
          <w:sz w:val="28"/>
          <w:szCs w:val="28"/>
        </w:rPr>
        <w:t xml:space="preserve"> examining the constitutional concerns </w:t>
      </w:r>
      <w:r w:rsidR="00CD3C6C" w:rsidRPr="00587F4C">
        <w:rPr>
          <w:sz w:val="28"/>
          <w:szCs w:val="28"/>
        </w:rPr>
        <w:t xml:space="preserve">associated </w:t>
      </w:r>
      <w:r w:rsidR="00874E90" w:rsidRPr="00587F4C">
        <w:rPr>
          <w:sz w:val="28"/>
          <w:szCs w:val="28"/>
        </w:rPr>
        <w:t xml:space="preserve">with </w:t>
      </w:r>
      <w:r w:rsidR="00CD3C6C" w:rsidRPr="00587F4C">
        <w:rPr>
          <w:sz w:val="28"/>
          <w:szCs w:val="28"/>
        </w:rPr>
        <w:t xml:space="preserve">them. And significantly, </w:t>
      </w:r>
      <w:r w:rsidR="00CC4E2F">
        <w:rPr>
          <w:sz w:val="28"/>
          <w:szCs w:val="28"/>
        </w:rPr>
        <w:t xml:space="preserve">they </w:t>
      </w:r>
      <w:r w:rsidR="00CD3C6C" w:rsidRPr="00587F4C">
        <w:rPr>
          <w:sz w:val="28"/>
          <w:szCs w:val="28"/>
        </w:rPr>
        <w:t xml:space="preserve">all </w:t>
      </w:r>
      <w:r w:rsidR="0014703E" w:rsidRPr="00587F4C">
        <w:rPr>
          <w:sz w:val="28"/>
          <w:szCs w:val="28"/>
        </w:rPr>
        <w:t>pre-date</w:t>
      </w:r>
      <w:r w:rsidR="00874E90" w:rsidRPr="00587F4C">
        <w:rPr>
          <w:sz w:val="28"/>
          <w:szCs w:val="28"/>
        </w:rPr>
        <w:t xml:space="preserve"> the Supreme Court’s landmark decision in </w:t>
      </w:r>
      <w:r w:rsidRPr="00587F4C">
        <w:rPr>
          <w:i/>
          <w:sz w:val="28"/>
          <w:szCs w:val="28"/>
        </w:rPr>
        <w:t>Carpenter</w:t>
      </w:r>
      <w:r w:rsidR="00CD3C6C" w:rsidRPr="00587F4C">
        <w:rPr>
          <w:i/>
          <w:sz w:val="28"/>
          <w:szCs w:val="28"/>
        </w:rPr>
        <w:t xml:space="preserve"> v. United States</w:t>
      </w:r>
      <w:r w:rsidRPr="00587F4C">
        <w:rPr>
          <w:sz w:val="28"/>
          <w:szCs w:val="28"/>
        </w:rPr>
        <w:t xml:space="preserve">, </w:t>
      </w:r>
      <w:r w:rsidR="00587F4C" w:rsidRPr="00587F4C">
        <w:rPr>
          <w:sz w:val="28"/>
          <w:szCs w:val="28"/>
        </w:rPr>
        <w:t>issued</w:t>
      </w:r>
      <w:r w:rsidRPr="00587F4C">
        <w:rPr>
          <w:sz w:val="28"/>
          <w:szCs w:val="28"/>
        </w:rPr>
        <w:t xml:space="preserve"> on June 22, 2018.</w:t>
      </w:r>
      <w:r w:rsidR="007C3E0B">
        <w:rPr>
          <w:rStyle w:val="FootnoteReference"/>
          <w:sz w:val="28"/>
          <w:szCs w:val="28"/>
        </w:rPr>
        <w:footnoteReference w:id="18"/>
      </w:r>
    </w:p>
    <w:p w14:paraId="0130055F" w14:textId="77777777" w:rsidR="00AB7E61" w:rsidRDefault="006C1D4A" w:rsidP="007B4CDD">
      <w:pPr>
        <w:spacing w:after="160" w:line="259" w:lineRule="auto"/>
        <w:jc w:val="both"/>
        <w:rPr>
          <w:color w:val="000000"/>
          <w:sz w:val="28"/>
          <w:szCs w:val="28"/>
        </w:rPr>
      </w:pPr>
      <w:r w:rsidRPr="00587F4C">
        <w:rPr>
          <w:i/>
          <w:sz w:val="28"/>
          <w:szCs w:val="28"/>
        </w:rPr>
        <w:lastRenderedPageBreak/>
        <w:t>Carpenter</w:t>
      </w:r>
      <w:r w:rsidRPr="00587F4C">
        <w:rPr>
          <w:sz w:val="28"/>
          <w:szCs w:val="28"/>
        </w:rPr>
        <w:t xml:space="preserve"> makes it clear that individuals have a Fourth Amendment </w:t>
      </w:r>
      <w:r w:rsidR="00B24230">
        <w:rPr>
          <w:sz w:val="28"/>
          <w:szCs w:val="28"/>
        </w:rPr>
        <w:t>expectation of privacy</w:t>
      </w:r>
      <w:r w:rsidRPr="00587F4C">
        <w:rPr>
          <w:sz w:val="28"/>
          <w:szCs w:val="28"/>
        </w:rPr>
        <w:t xml:space="preserve"> in their cell phone location data</w:t>
      </w:r>
      <w:r w:rsidR="00B24230">
        <w:rPr>
          <w:sz w:val="28"/>
          <w:szCs w:val="28"/>
        </w:rPr>
        <w:t>.</w:t>
      </w:r>
      <w:r w:rsidRPr="00587F4C">
        <w:rPr>
          <w:sz w:val="28"/>
          <w:szCs w:val="28"/>
        </w:rPr>
        <w:t xml:space="preserve"> </w:t>
      </w:r>
      <w:r w:rsidRPr="00587F4C">
        <w:rPr>
          <w:color w:val="000000"/>
          <w:sz w:val="28"/>
          <w:szCs w:val="28"/>
        </w:rPr>
        <w:t xml:space="preserve">138 S. Ct. at </w:t>
      </w:r>
      <w:r w:rsidR="00587F4C" w:rsidRPr="00587F4C">
        <w:rPr>
          <w:sz w:val="28"/>
          <w:szCs w:val="28"/>
        </w:rPr>
        <w:t>2217</w:t>
      </w:r>
      <w:r w:rsidRPr="00587F4C">
        <w:rPr>
          <w:color w:val="000000"/>
          <w:sz w:val="28"/>
          <w:szCs w:val="28"/>
        </w:rPr>
        <w:t xml:space="preserve">. </w:t>
      </w:r>
      <w:r w:rsidR="00B24230">
        <w:rPr>
          <w:color w:val="000000"/>
          <w:sz w:val="28"/>
          <w:szCs w:val="28"/>
        </w:rPr>
        <w:t xml:space="preserve">And “[a]llowing government access to cell-site records contravenes that expectation,” </w:t>
      </w:r>
      <w:r w:rsidR="00050B88">
        <w:rPr>
          <w:color w:val="000000"/>
          <w:sz w:val="28"/>
          <w:szCs w:val="28"/>
        </w:rPr>
        <w:t>even though</w:t>
      </w:r>
      <w:r w:rsidR="00B24230">
        <w:rPr>
          <w:color w:val="000000"/>
          <w:sz w:val="28"/>
          <w:szCs w:val="28"/>
        </w:rPr>
        <w:t xml:space="preserve"> the information is held by third-party wireless service providers. </w:t>
      </w:r>
      <w:r w:rsidR="00B24230">
        <w:rPr>
          <w:i/>
          <w:color w:val="000000"/>
          <w:sz w:val="28"/>
          <w:szCs w:val="28"/>
        </w:rPr>
        <w:t>Id.</w:t>
      </w:r>
      <w:r w:rsidR="00B24230">
        <w:rPr>
          <w:color w:val="000000"/>
          <w:sz w:val="28"/>
          <w:szCs w:val="28"/>
        </w:rPr>
        <w:t xml:space="preserve"> That is because “the time-stamped data provides an intimate window into a person’s life, revealing not only his particular movements, but through them his familial, political, professional, rel</w:t>
      </w:r>
      <w:r w:rsidR="00050B88">
        <w:rPr>
          <w:color w:val="000000"/>
          <w:sz w:val="28"/>
          <w:szCs w:val="28"/>
        </w:rPr>
        <w:t>igious, and sexual associations</w:t>
      </w:r>
      <w:r w:rsidR="00B24230">
        <w:rPr>
          <w:color w:val="000000"/>
          <w:sz w:val="28"/>
          <w:szCs w:val="28"/>
        </w:rPr>
        <w:t>”</w:t>
      </w:r>
      <w:r w:rsidR="00050B88">
        <w:rPr>
          <w:color w:val="000000"/>
          <w:sz w:val="28"/>
          <w:szCs w:val="28"/>
        </w:rPr>
        <w:t xml:space="preserve"> – the “privacies of life.”</w:t>
      </w:r>
      <w:r w:rsidR="00B24230">
        <w:rPr>
          <w:color w:val="000000"/>
          <w:sz w:val="28"/>
          <w:szCs w:val="28"/>
        </w:rPr>
        <w:t xml:space="preserve"> </w:t>
      </w:r>
      <w:r w:rsidR="00B24230">
        <w:rPr>
          <w:i/>
          <w:color w:val="000000"/>
          <w:sz w:val="28"/>
          <w:szCs w:val="28"/>
        </w:rPr>
        <w:t>Id.</w:t>
      </w:r>
      <w:r w:rsidR="00050B88">
        <w:rPr>
          <w:color w:val="000000"/>
          <w:sz w:val="28"/>
          <w:szCs w:val="28"/>
        </w:rPr>
        <w:t xml:space="preserve"> (internal quotes omitted). </w:t>
      </w:r>
    </w:p>
    <w:p w14:paraId="4DDDD939" w14:textId="77777777" w:rsidR="00E030B4" w:rsidRDefault="00050B88" w:rsidP="007B4CDD">
      <w:pPr>
        <w:spacing w:after="160" w:line="259" w:lineRule="auto"/>
        <w:jc w:val="both"/>
        <w:rPr>
          <w:color w:val="000000"/>
          <w:sz w:val="28"/>
          <w:szCs w:val="28"/>
        </w:rPr>
      </w:pPr>
      <w:r>
        <w:rPr>
          <w:color w:val="000000"/>
          <w:sz w:val="28"/>
          <w:szCs w:val="28"/>
        </w:rPr>
        <w:t xml:space="preserve">By comparison, accessing cell phone data is “remarkably easy, cheap, and efficient compared to traditional investigative tools.” </w:t>
      </w:r>
      <w:r>
        <w:rPr>
          <w:i/>
          <w:color w:val="000000"/>
          <w:sz w:val="28"/>
          <w:szCs w:val="28"/>
        </w:rPr>
        <w:t>Id.</w:t>
      </w:r>
      <w:r>
        <w:rPr>
          <w:color w:val="000000"/>
          <w:sz w:val="28"/>
          <w:szCs w:val="28"/>
        </w:rPr>
        <w:t xml:space="preserve"> at 2218.</w:t>
      </w:r>
      <w:r w:rsidR="00AB7E61">
        <w:rPr>
          <w:color w:val="000000"/>
          <w:sz w:val="28"/>
          <w:szCs w:val="28"/>
        </w:rPr>
        <w:t xml:space="preserve"> With the click of a button, the government “achieves near perfect surveillance, as if it had attached an ankle monitor to the phone’s user.” </w:t>
      </w:r>
      <w:r w:rsidR="00AB7E61">
        <w:rPr>
          <w:i/>
          <w:color w:val="000000"/>
          <w:sz w:val="28"/>
          <w:szCs w:val="28"/>
        </w:rPr>
        <w:t xml:space="preserve">Id. </w:t>
      </w:r>
      <w:r w:rsidR="00AB7E61">
        <w:rPr>
          <w:color w:val="000000"/>
          <w:sz w:val="28"/>
          <w:szCs w:val="28"/>
        </w:rPr>
        <w:t xml:space="preserve">The “retrospective quality” of historical cell site records can also function as a virtual time machine, giving police “access to a category of information otherwise unknowable.” </w:t>
      </w:r>
      <w:r w:rsidR="00AB7E61">
        <w:rPr>
          <w:i/>
          <w:color w:val="000000"/>
          <w:sz w:val="28"/>
          <w:szCs w:val="28"/>
        </w:rPr>
        <w:t>Id.</w:t>
      </w:r>
      <w:r w:rsidR="00AB7E61">
        <w:rPr>
          <w:color w:val="000000"/>
          <w:sz w:val="28"/>
          <w:szCs w:val="28"/>
        </w:rPr>
        <w:t xml:space="preserve"> And because cell phones are so pervasive, “this newfound tracking capacity runs against everyone.” </w:t>
      </w:r>
      <w:r w:rsidR="00AB7E61">
        <w:rPr>
          <w:i/>
          <w:color w:val="000000"/>
          <w:sz w:val="28"/>
          <w:szCs w:val="28"/>
        </w:rPr>
        <w:t>Id.</w:t>
      </w:r>
      <w:r w:rsidR="00AB7E61">
        <w:rPr>
          <w:color w:val="000000"/>
          <w:sz w:val="28"/>
          <w:szCs w:val="28"/>
        </w:rPr>
        <w:t xml:space="preserve"> </w:t>
      </w:r>
    </w:p>
    <w:p w14:paraId="1ACE8778" w14:textId="091C3F16" w:rsidR="00370796" w:rsidRDefault="00AB7E61" w:rsidP="007B4CDD">
      <w:pPr>
        <w:spacing w:after="160" w:line="259" w:lineRule="auto"/>
        <w:jc w:val="both"/>
        <w:rPr>
          <w:color w:val="000000"/>
          <w:sz w:val="28"/>
          <w:szCs w:val="28"/>
        </w:rPr>
      </w:pPr>
      <w:r w:rsidRPr="007C3E0B">
        <w:rPr>
          <w:color w:val="000000"/>
          <w:sz w:val="28"/>
          <w:szCs w:val="28"/>
        </w:rPr>
        <w:t>Accordingly, when t</w:t>
      </w:r>
      <w:r w:rsidR="00E030B4" w:rsidRPr="007C3E0B">
        <w:rPr>
          <w:color w:val="000000"/>
          <w:sz w:val="28"/>
          <w:szCs w:val="28"/>
        </w:rPr>
        <w:t xml:space="preserve">he government obtained CSLI in this case through nine tower dumps, it invaded the reasonable expectation of privacy of every cell phone user caught up in the sweep. </w:t>
      </w:r>
      <w:r w:rsidR="00E030B4" w:rsidRPr="007C3E0B">
        <w:rPr>
          <w:i/>
          <w:color w:val="000000"/>
          <w:sz w:val="28"/>
          <w:szCs w:val="28"/>
        </w:rPr>
        <w:t>See</w:t>
      </w:r>
      <w:r w:rsidR="00E030B4" w:rsidRPr="007C3E0B">
        <w:rPr>
          <w:color w:val="000000"/>
          <w:sz w:val="28"/>
          <w:szCs w:val="28"/>
        </w:rPr>
        <w:t xml:space="preserve"> </w:t>
      </w:r>
      <w:r w:rsidR="007C3E0B" w:rsidRPr="007C3E0B">
        <w:rPr>
          <w:rFonts w:eastAsiaTheme="minorHAnsi"/>
          <w:i/>
          <w:sz w:val="28"/>
          <w:szCs w:val="28"/>
        </w:rPr>
        <w:t>Owsley Opinion I</w:t>
      </w:r>
      <w:r w:rsidR="007C3E0B" w:rsidRPr="007C3E0B">
        <w:rPr>
          <w:rFonts w:eastAsiaTheme="minorHAnsi"/>
          <w:sz w:val="28"/>
          <w:szCs w:val="28"/>
        </w:rPr>
        <w:t>, 930 F. Supp. 2d at 702</w:t>
      </w:r>
      <w:r w:rsidR="007C3E0B" w:rsidRPr="007C3E0B">
        <w:rPr>
          <w:color w:val="000000"/>
          <w:sz w:val="28"/>
          <w:szCs w:val="28"/>
        </w:rPr>
        <w:t xml:space="preserve"> </w:t>
      </w:r>
      <w:r w:rsidR="00E030B4" w:rsidRPr="007C3E0B">
        <w:rPr>
          <w:color w:val="000000"/>
          <w:sz w:val="28"/>
          <w:szCs w:val="28"/>
        </w:rPr>
        <w:t>(tower dumps are “a very broad and invasive search affecting likely hundreds of individuals in violation of the Fourth Amendment.”).</w:t>
      </w:r>
    </w:p>
    <w:p w14:paraId="7C33BABE" w14:textId="33E3627F" w:rsidR="005D78F0" w:rsidRPr="002B7EC1" w:rsidRDefault="005D78F0" w:rsidP="005D78F0">
      <w:pPr>
        <w:spacing w:after="160" w:line="259" w:lineRule="auto"/>
        <w:jc w:val="both"/>
        <w:rPr>
          <w:sz w:val="28"/>
          <w:szCs w:val="28"/>
        </w:rPr>
      </w:pPr>
      <w:r>
        <w:rPr>
          <w:sz w:val="28"/>
          <w:szCs w:val="28"/>
        </w:rPr>
        <w:t xml:space="preserve">The </w:t>
      </w:r>
      <w:r>
        <w:rPr>
          <w:i/>
          <w:sz w:val="28"/>
          <w:szCs w:val="28"/>
        </w:rPr>
        <w:t xml:space="preserve">Carpenter </w:t>
      </w:r>
      <w:r>
        <w:rPr>
          <w:sz w:val="28"/>
          <w:szCs w:val="28"/>
        </w:rPr>
        <w:t xml:space="preserve">Court </w:t>
      </w:r>
      <w:r w:rsidR="002479DD">
        <w:rPr>
          <w:sz w:val="28"/>
          <w:szCs w:val="28"/>
        </w:rPr>
        <w:t>did not decide</w:t>
      </w:r>
      <w:r>
        <w:rPr>
          <w:sz w:val="28"/>
          <w:szCs w:val="28"/>
        </w:rPr>
        <w:t xml:space="preserve"> the constitutionality of tower dumps, but it did recognize that the issues are closely related. </w:t>
      </w:r>
      <w:r w:rsidRPr="00587F4C">
        <w:rPr>
          <w:color w:val="000000"/>
          <w:sz w:val="28"/>
          <w:szCs w:val="28"/>
        </w:rPr>
        <w:t xml:space="preserve">138 S. Ct. </w:t>
      </w:r>
      <w:r>
        <w:rPr>
          <w:sz w:val="28"/>
          <w:szCs w:val="28"/>
        </w:rPr>
        <w:t>at 2220. The difference is that tower dumps intentionally collect private data from hundreds or thousands of non-suspects</w:t>
      </w:r>
      <w:r w:rsidR="002479DD">
        <w:rPr>
          <w:sz w:val="28"/>
          <w:szCs w:val="28"/>
        </w:rPr>
        <w:t>, as opposed to an individual suspect under investigation</w:t>
      </w:r>
      <w:r>
        <w:rPr>
          <w:sz w:val="28"/>
          <w:szCs w:val="28"/>
        </w:rPr>
        <w:t xml:space="preserve">. The records contain the same type of CSLI at issue in </w:t>
      </w:r>
      <w:r>
        <w:rPr>
          <w:i/>
          <w:sz w:val="28"/>
          <w:szCs w:val="28"/>
        </w:rPr>
        <w:t>Carpenter</w:t>
      </w:r>
      <w:r>
        <w:rPr>
          <w:sz w:val="28"/>
          <w:szCs w:val="28"/>
        </w:rPr>
        <w:t xml:space="preserve"> as well as other transactional and subscriber data. Apart from the scale </w:t>
      </w:r>
      <w:r w:rsidRPr="002479DD">
        <w:rPr>
          <w:sz w:val="28"/>
          <w:szCs w:val="28"/>
        </w:rPr>
        <w:t xml:space="preserve">and absence of individualized suspicion, there is no logical reason to treat tower dump records different than the CSLI in </w:t>
      </w:r>
      <w:r w:rsidRPr="002479DD">
        <w:rPr>
          <w:i/>
          <w:sz w:val="28"/>
          <w:szCs w:val="28"/>
        </w:rPr>
        <w:t>Carpenter</w:t>
      </w:r>
      <w:r w:rsidRPr="002479DD">
        <w:rPr>
          <w:sz w:val="28"/>
          <w:szCs w:val="28"/>
        </w:rPr>
        <w:t xml:space="preserve">. </w:t>
      </w:r>
      <w:r w:rsidR="002B7EC1">
        <w:rPr>
          <w:sz w:val="28"/>
          <w:szCs w:val="28"/>
        </w:rPr>
        <w:t xml:space="preserve">If anything, tower dumps raise greater Fourth Amendment concerns than the individual tracking in </w:t>
      </w:r>
      <w:r w:rsidR="002B7EC1">
        <w:rPr>
          <w:i/>
          <w:sz w:val="28"/>
          <w:szCs w:val="28"/>
        </w:rPr>
        <w:t>Carpenter</w:t>
      </w:r>
      <w:r w:rsidR="002B7EC1">
        <w:rPr>
          <w:sz w:val="28"/>
          <w:szCs w:val="28"/>
        </w:rPr>
        <w:t>. While their duration may be more circumscribed, their breadth is unlimited, potentially ensnaring thousands of innocent people.</w:t>
      </w:r>
    </w:p>
    <w:p w14:paraId="2976588F" w14:textId="0D2189EE" w:rsidR="00B31E00" w:rsidRPr="00B73F30" w:rsidRDefault="005D78F0" w:rsidP="00B31E00">
      <w:pPr>
        <w:spacing w:after="160" w:line="259" w:lineRule="auto"/>
        <w:jc w:val="both"/>
        <w:rPr>
          <w:i/>
          <w:color w:val="000000"/>
          <w:sz w:val="28"/>
          <w:szCs w:val="28"/>
        </w:rPr>
      </w:pPr>
      <w:r w:rsidRPr="002479DD">
        <w:rPr>
          <w:color w:val="000000"/>
          <w:sz w:val="28"/>
          <w:szCs w:val="28"/>
        </w:rPr>
        <w:t xml:space="preserve">A handful of </w:t>
      </w:r>
      <w:r w:rsidR="003B474B" w:rsidRPr="002479DD">
        <w:rPr>
          <w:color w:val="000000"/>
          <w:sz w:val="28"/>
          <w:szCs w:val="28"/>
        </w:rPr>
        <w:t xml:space="preserve">cases, all decided before </w:t>
      </w:r>
      <w:r w:rsidR="003B474B" w:rsidRPr="002479DD">
        <w:rPr>
          <w:i/>
          <w:color w:val="000000"/>
          <w:sz w:val="28"/>
          <w:szCs w:val="28"/>
        </w:rPr>
        <w:t>Carpenter</w:t>
      </w:r>
      <w:r w:rsidR="003B474B" w:rsidRPr="002479DD">
        <w:rPr>
          <w:color w:val="000000"/>
          <w:sz w:val="28"/>
          <w:szCs w:val="28"/>
        </w:rPr>
        <w:t xml:space="preserve">, </w:t>
      </w:r>
      <w:r w:rsidRPr="002479DD">
        <w:rPr>
          <w:color w:val="000000"/>
          <w:sz w:val="28"/>
          <w:szCs w:val="28"/>
        </w:rPr>
        <w:t xml:space="preserve">found </w:t>
      </w:r>
      <w:r w:rsidR="003B474B" w:rsidRPr="002479DD">
        <w:rPr>
          <w:color w:val="000000"/>
          <w:sz w:val="28"/>
          <w:szCs w:val="28"/>
        </w:rPr>
        <w:t xml:space="preserve">that tower dumps are not searches under the Fourth Amendment because users convey </w:t>
      </w:r>
      <w:r w:rsidR="002479DD" w:rsidRPr="002479DD">
        <w:rPr>
          <w:color w:val="000000"/>
          <w:sz w:val="28"/>
          <w:szCs w:val="28"/>
        </w:rPr>
        <w:t>their CSLI to</w:t>
      </w:r>
      <w:r w:rsidR="003B474B" w:rsidRPr="002479DD">
        <w:rPr>
          <w:color w:val="000000"/>
          <w:sz w:val="28"/>
          <w:szCs w:val="28"/>
        </w:rPr>
        <w:t xml:space="preserve"> wireless service providers. </w:t>
      </w:r>
      <w:r w:rsidR="002479DD" w:rsidRPr="002479DD">
        <w:rPr>
          <w:color w:val="000000"/>
          <w:sz w:val="28"/>
          <w:szCs w:val="28"/>
        </w:rPr>
        <w:t xml:space="preserve">Under the so-called “third-party doctrine” established in the 1970s by </w:t>
      </w:r>
      <w:r w:rsidR="002479DD" w:rsidRPr="002479DD">
        <w:rPr>
          <w:i/>
          <w:sz w:val="28"/>
          <w:szCs w:val="28"/>
        </w:rPr>
        <w:t>United States v. Miller</w:t>
      </w:r>
      <w:r w:rsidR="002479DD" w:rsidRPr="002479DD">
        <w:rPr>
          <w:sz w:val="28"/>
          <w:szCs w:val="28"/>
        </w:rPr>
        <w:t xml:space="preserve">, 425 U.S. 435 (1976), and </w:t>
      </w:r>
      <w:r w:rsidR="002479DD" w:rsidRPr="002479DD">
        <w:rPr>
          <w:i/>
          <w:sz w:val="28"/>
          <w:szCs w:val="28"/>
        </w:rPr>
        <w:t>Smith v. Maryland</w:t>
      </w:r>
      <w:r w:rsidR="002479DD" w:rsidRPr="002479DD">
        <w:rPr>
          <w:sz w:val="28"/>
          <w:szCs w:val="28"/>
        </w:rPr>
        <w:t xml:space="preserve">, 442 U.S. </w:t>
      </w:r>
      <w:r w:rsidR="002479DD" w:rsidRPr="002479DD">
        <w:rPr>
          <w:sz w:val="28"/>
          <w:szCs w:val="28"/>
        </w:rPr>
        <w:lastRenderedPageBreak/>
        <w:t xml:space="preserve">735 (1979), there can be no reasonable expectation of privacy in information that is knowingly and voluntarily revealed to such “third parties.” </w:t>
      </w:r>
      <w:r w:rsidR="002479DD">
        <w:rPr>
          <w:sz w:val="28"/>
          <w:szCs w:val="28"/>
        </w:rPr>
        <w:t>A</w:t>
      </w:r>
      <w:r w:rsidR="00B31E00">
        <w:rPr>
          <w:sz w:val="28"/>
          <w:szCs w:val="28"/>
        </w:rPr>
        <w:t>nd a</w:t>
      </w:r>
      <w:r w:rsidR="002479DD">
        <w:rPr>
          <w:sz w:val="28"/>
          <w:szCs w:val="28"/>
        </w:rPr>
        <w:t xml:space="preserve">s a result, some courts </w:t>
      </w:r>
      <w:r w:rsidR="002479DD" w:rsidRPr="00B31E00">
        <w:rPr>
          <w:sz w:val="28"/>
          <w:szCs w:val="28"/>
        </w:rPr>
        <w:t xml:space="preserve">felt bound by precedent to permit tower dumps without a warrant and probable cause. </w:t>
      </w:r>
      <w:r w:rsidR="00B31E00" w:rsidRPr="00B31E00">
        <w:rPr>
          <w:i/>
          <w:color w:val="000000"/>
          <w:sz w:val="28"/>
          <w:szCs w:val="28"/>
        </w:rPr>
        <w:t>See, e.g., In re A</w:t>
      </w:r>
      <w:r w:rsidR="003B474B" w:rsidRPr="00B31E00">
        <w:rPr>
          <w:i/>
          <w:color w:val="000000"/>
          <w:sz w:val="28"/>
          <w:szCs w:val="28"/>
        </w:rPr>
        <w:t>pplication</w:t>
      </w:r>
      <w:r w:rsidR="003B474B" w:rsidRPr="00B31E00">
        <w:rPr>
          <w:color w:val="000000"/>
          <w:sz w:val="28"/>
          <w:szCs w:val="28"/>
        </w:rPr>
        <w:t>, 42 F. Supp. 3d 511, 518 (S.D.N.Y. 2014</w:t>
      </w:r>
      <w:r w:rsidR="00B31E00" w:rsidRPr="00B31E00">
        <w:rPr>
          <w:color w:val="000000"/>
          <w:sz w:val="28"/>
          <w:szCs w:val="28"/>
        </w:rPr>
        <w:t>)</w:t>
      </w:r>
      <w:r w:rsidR="003B474B" w:rsidRPr="00B31E00">
        <w:rPr>
          <w:color w:val="000000"/>
          <w:sz w:val="28"/>
          <w:szCs w:val="28"/>
        </w:rPr>
        <w:t xml:space="preserve"> </w:t>
      </w:r>
      <w:r w:rsidR="003B474B" w:rsidRPr="00B31E00">
        <w:rPr>
          <w:color w:val="000000"/>
          <w:sz w:val="28"/>
          <w:szCs w:val="28"/>
          <w:shd w:val="clear" w:color="auto" w:fill="FFFFFF"/>
        </w:rPr>
        <w:t>(“I agree that</w:t>
      </w:r>
      <w:r w:rsidR="003B474B" w:rsidRPr="00B31E00">
        <w:rPr>
          <w:rStyle w:val="apple-converted-space"/>
          <w:color w:val="000000"/>
          <w:sz w:val="28"/>
          <w:szCs w:val="28"/>
          <w:shd w:val="clear" w:color="auto" w:fill="FFFFFF"/>
        </w:rPr>
        <w:t> </w:t>
      </w:r>
      <w:r w:rsidR="003B474B" w:rsidRPr="00B31E00">
        <w:rPr>
          <w:rStyle w:val="Emphasis"/>
          <w:color w:val="000000"/>
          <w:sz w:val="28"/>
          <w:szCs w:val="28"/>
          <w:shd w:val="clear" w:color="auto" w:fill="FFFFFF"/>
        </w:rPr>
        <w:t>Smith</w:t>
      </w:r>
      <w:r w:rsidR="003B474B" w:rsidRPr="00B31E00">
        <w:rPr>
          <w:rStyle w:val="apple-converted-space"/>
          <w:color w:val="000000"/>
          <w:sz w:val="28"/>
          <w:szCs w:val="28"/>
          <w:shd w:val="clear" w:color="auto" w:fill="FFFFFF"/>
        </w:rPr>
        <w:t> </w:t>
      </w:r>
      <w:r w:rsidR="003B474B" w:rsidRPr="00B31E00">
        <w:rPr>
          <w:color w:val="000000"/>
          <w:sz w:val="28"/>
          <w:szCs w:val="28"/>
          <w:shd w:val="clear" w:color="auto" w:fill="FFFFFF"/>
        </w:rPr>
        <w:t>and</w:t>
      </w:r>
      <w:r w:rsidR="003B474B" w:rsidRPr="00B31E00">
        <w:rPr>
          <w:rStyle w:val="apple-converted-space"/>
          <w:color w:val="000000"/>
          <w:sz w:val="28"/>
          <w:szCs w:val="28"/>
          <w:shd w:val="clear" w:color="auto" w:fill="FFFFFF"/>
        </w:rPr>
        <w:t> </w:t>
      </w:r>
      <w:r w:rsidR="003B474B" w:rsidRPr="00B31E00">
        <w:rPr>
          <w:rStyle w:val="Emphasis"/>
          <w:color w:val="000000"/>
          <w:sz w:val="28"/>
          <w:szCs w:val="28"/>
          <w:shd w:val="clear" w:color="auto" w:fill="FFFFFF"/>
        </w:rPr>
        <w:t>Miller</w:t>
      </w:r>
      <w:r w:rsidR="003B474B" w:rsidRPr="00B31E00">
        <w:rPr>
          <w:rStyle w:val="apple-converted-space"/>
          <w:color w:val="000000"/>
          <w:sz w:val="28"/>
          <w:szCs w:val="28"/>
          <w:shd w:val="clear" w:color="auto" w:fill="FFFFFF"/>
        </w:rPr>
        <w:t> </w:t>
      </w:r>
      <w:r w:rsidR="003B474B" w:rsidRPr="00B31E00">
        <w:rPr>
          <w:color w:val="000000"/>
          <w:sz w:val="28"/>
          <w:szCs w:val="28"/>
          <w:shd w:val="clear" w:color="auto" w:fill="FFFFFF"/>
        </w:rPr>
        <w:t>dictate the outcome here, where the subscribers are aware that use of their cell phones necessitates disclosure of the information sought.”)</w:t>
      </w:r>
      <w:r w:rsidR="002479DD" w:rsidRPr="00B31E00">
        <w:rPr>
          <w:color w:val="000000"/>
          <w:sz w:val="28"/>
          <w:szCs w:val="28"/>
          <w:shd w:val="clear" w:color="auto" w:fill="FFFFFF"/>
        </w:rPr>
        <w:t xml:space="preserve">; </w:t>
      </w:r>
      <w:r w:rsidR="00B31E00" w:rsidRPr="00B31E00">
        <w:rPr>
          <w:i/>
          <w:color w:val="000000"/>
          <w:sz w:val="28"/>
          <w:szCs w:val="28"/>
          <w:shd w:val="clear" w:color="auto" w:fill="FFFFFF"/>
        </w:rPr>
        <w:t>In re Application</w:t>
      </w:r>
      <w:r w:rsidR="00B31E00" w:rsidRPr="00B31E00">
        <w:rPr>
          <w:color w:val="000000"/>
          <w:sz w:val="28"/>
          <w:szCs w:val="28"/>
          <w:shd w:val="clear" w:color="auto" w:fill="FFFFFF"/>
        </w:rPr>
        <w:t xml:space="preserve">, </w:t>
      </w:r>
      <w:r w:rsidR="00B31E00" w:rsidRPr="00B31E00">
        <w:rPr>
          <w:color w:val="000000"/>
          <w:sz w:val="28"/>
          <w:szCs w:val="28"/>
        </w:rPr>
        <w:t>2017 WL 6368665, at *2 (E.D. Mich. Dec. 12, 2017)</w:t>
      </w:r>
      <w:r w:rsidR="00B31E00" w:rsidRPr="00B31E00">
        <w:rPr>
          <w:color w:val="000000"/>
          <w:sz w:val="28"/>
          <w:szCs w:val="28"/>
          <w:shd w:val="clear" w:color="auto" w:fill="FFFFFF"/>
        </w:rPr>
        <w:t xml:space="preserve"> (“[U]ntil the </w:t>
      </w:r>
      <w:r w:rsidR="00B31E00" w:rsidRPr="00B73F30">
        <w:rPr>
          <w:color w:val="000000"/>
          <w:sz w:val="28"/>
          <w:szCs w:val="28"/>
          <w:shd w:val="clear" w:color="auto" w:fill="FFFFFF"/>
        </w:rPr>
        <w:t xml:space="preserve">Supreme Court holds otherwise, I accept that the information the government seeks in this application may be produced under the SCA.”). </w:t>
      </w:r>
      <w:r w:rsidR="00B31E00" w:rsidRPr="00B73F30">
        <w:rPr>
          <w:sz w:val="28"/>
          <w:szCs w:val="28"/>
        </w:rPr>
        <w:t>I</w:t>
      </w:r>
      <w:r w:rsidR="00CC4E2F" w:rsidRPr="00B73F30">
        <w:rPr>
          <w:sz w:val="28"/>
          <w:szCs w:val="28"/>
        </w:rPr>
        <w:t>n a post-</w:t>
      </w:r>
      <w:r w:rsidR="00CC4E2F" w:rsidRPr="00B73F30">
        <w:rPr>
          <w:i/>
          <w:sz w:val="28"/>
          <w:szCs w:val="28"/>
        </w:rPr>
        <w:t>Carpenter</w:t>
      </w:r>
      <w:r w:rsidR="00CC4E2F" w:rsidRPr="00B73F30">
        <w:rPr>
          <w:sz w:val="28"/>
          <w:szCs w:val="28"/>
        </w:rPr>
        <w:t xml:space="preserve"> world,</w:t>
      </w:r>
      <w:r w:rsidR="00B31E00" w:rsidRPr="00B73F30">
        <w:rPr>
          <w:sz w:val="28"/>
          <w:szCs w:val="28"/>
        </w:rPr>
        <w:t xml:space="preserve"> however,</w:t>
      </w:r>
      <w:r w:rsidR="00CC4E2F" w:rsidRPr="00B73F30">
        <w:rPr>
          <w:sz w:val="28"/>
          <w:szCs w:val="28"/>
        </w:rPr>
        <w:t xml:space="preserve"> no court has </w:t>
      </w:r>
      <w:r w:rsidR="00B31E00" w:rsidRPr="00B73F30">
        <w:rPr>
          <w:sz w:val="28"/>
          <w:szCs w:val="28"/>
        </w:rPr>
        <w:t>ruled on the constitutionality of a</w:t>
      </w:r>
      <w:r w:rsidR="00CC4E2F" w:rsidRPr="00B73F30">
        <w:rPr>
          <w:sz w:val="28"/>
          <w:szCs w:val="28"/>
        </w:rPr>
        <w:t xml:space="preserve"> warrantless tower dump.</w:t>
      </w:r>
      <w:r w:rsidR="00B73F30">
        <w:rPr>
          <w:i/>
          <w:color w:val="000000"/>
          <w:sz w:val="28"/>
          <w:szCs w:val="28"/>
        </w:rPr>
        <w:t xml:space="preserve"> </w:t>
      </w:r>
      <w:r w:rsidR="00B31E00" w:rsidRPr="00B73F30">
        <w:rPr>
          <w:sz w:val="28"/>
          <w:szCs w:val="28"/>
        </w:rPr>
        <w:t xml:space="preserve">On the contrary, </w:t>
      </w:r>
      <w:r w:rsidR="00B31E00" w:rsidRPr="00B73F30">
        <w:rPr>
          <w:i/>
          <w:sz w:val="28"/>
          <w:szCs w:val="28"/>
        </w:rPr>
        <w:t>Carpenter</w:t>
      </w:r>
      <w:r w:rsidR="00B31E00" w:rsidRPr="00B73F30">
        <w:rPr>
          <w:sz w:val="28"/>
          <w:szCs w:val="28"/>
        </w:rPr>
        <w:t xml:space="preserve"> dictates that that the </w:t>
      </w:r>
      <w:r w:rsidR="00C2097F" w:rsidRPr="00B73F30">
        <w:rPr>
          <w:sz w:val="28"/>
          <w:szCs w:val="28"/>
        </w:rPr>
        <w:t>third-party</w:t>
      </w:r>
      <w:r w:rsidR="00B31E00" w:rsidRPr="00B73F30">
        <w:rPr>
          <w:sz w:val="28"/>
          <w:szCs w:val="28"/>
        </w:rPr>
        <w:t xml:space="preserve"> doctrine does not apply to CSLI. The</w:t>
      </w:r>
      <w:r w:rsidR="00B73F30">
        <w:rPr>
          <w:sz w:val="28"/>
          <w:szCs w:val="28"/>
        </w:rPr>
        <w:t xml:space="preserve"> Supreme</w:t>
      </w:r>
      <w:r w:rsidR="00B31E00" w:rsidRPr="00B73F30">
        <w:rPr>
          <w:sz w:val="28"/>
          <w:szCs w:val="28"/>
        </w:rPr>
        <w:t xml:space="preserve"> Court explicitly declined to extend </w:t>
      </w:r>
      <w:r w:rsidR="00B31E00" w:rsidRPr="00B73F30">
        <w:rPr>
          <w:i/>
          <w:sz w:val="28"/>
          <w:szCs w:val="28"/>
        </w:rPr>
        <w:t xml:space="preserve">Smith </w:t>
      </w:r>
      <w:r w:rsidR="00B31E00" w:rsidRPr="00B73F30">
        <w:rPr>
          <w:sz w:val="28"/>
          <w:szCs w:val="28"/>
        </w:rPr>
        <w:t xml:space="preserve">and </w:t>
      </w:r>
      <w:r w:rsidR="00B31E00" w:rsidRPr="00B73F30">
        <w:rPr>
          <w:i/>
          <w:sz w:val="28"/>
          <w:szCs w:val="28"/>
        </w:rPr>
        <w:t xml:space="preserve">Miller </w:t>
      </w:r>
      <w:r w:rsidR="00B31E00" w:rsidRPr="00B73F30">
        <w:rPr>
          <w:sz w:val="28"/>
          <w:szCs w:val="28"/>
        </w:rPr>
        <w:t>to these “novel circumstances” in light of the “unique nature of cell phone records,” holding that “</w:t>
      </w:r>
      <w:r w:rsidR="00B31E00" w:rsidRPr="00B73F30">
        <w:rPr>
          <w:rStyle w:val="cohl"/>
          <w:color w:val="000000"/>
          <w:sz w:val="28"/>
          <w:szCs w:val="28"/>
          <w:shd w:val="clear" w:color="auto" w:fill="FFFFFF"/>
        </w:rPr>
        <w:t>an individual maintains a legitimate expectation of privacy in the record of his physical movements as captured through CSLI.”</w:t>
      </w:r>
      <w:r w:rsidR="00B31E00" w:rsidRPr="00B73F30">
        <w:rPr>
          <w:color w:val="000000"/>
          <w:sz w:val="28"/>
          <w:szCs w:val="28"/>
        </w:rPr>
        <w:t xml:space="preserve"> </w:t>
      </w:r>
      <w:r w:rsidR="00B31E00" w:rsidRPr="00B73F30">
        <w:rPr>
          <w:i/>
          <w:iCs/>
          <w:color w:val="000000"/>
          <w:sz w:val="28"/>
          <w:szCs w:val="28"/>
        </w:rPr>
        <w:t>Carpenter</w:t>
      </w:r>
      <w:r w:rsidR="00B31E00" w:rsidRPr="00B73F30">
        <w:rPr>
          <w:color w:val="000000"/>
          <w:sz w:val="28"/>
          <w:szCs w:val="28"/>
        </w:rPr>
        <w:t xml:space="preserve">, 138 S. Ct. </w:t>
      </w:r>
      <w:r w:rsidR="00B73F30" w:rsidRPr="00B73F30">
        <w:rPr>
          <w:color w:val="000000"/>
          <w:sz w:val="28"/>
          <w:szCs w:val="28"/>
        </w:rPr>
        <w:t>at</w:t>
      </w:r>
      <w:r w:rsidR="00B31E00" w:rsidRPr="00B73F30">
        <w:rPr>
          <w:color w:val="000000"/>
          <w:sz w:val="28"/>
          <w:szCs w:val="28"/>
        </w:rPr>
        <w:t xml:space="preserve"> 2217</w:t>
      </w:r>
      <w:r w:rsidR="00B73F30" w:rsidRPr="00B73F30">
        <w:rPr>
          <w:color w:val="000000"/>
          <w:sz w:val="28"/>
          <w:szCs w:val="28"/>
        </w:rPr>
        <w:t>.</w:t>
      </w:r>
    </w:p>
    <w:p w14:paraId="29F8627A" w14:textId="10099DD2" w:rsidR="002B7EC1" w:rsidRPr="00382F4E" w:rsidRDefault="00B73F30" w:rsidP="007B4CDD">
      <w:pPr>
        <w:spacing w:after="160" w:line="259" w:lineRule="auto"/>
        <w:jc w:val="both"/>
        <w:rPr>
          <w:sz w:val="28"/>
          <w:szCs w:val="28"/>
        </w:rPr>
      </w:pPr>
      <w:r w:rsidRPr="00382F4E">
        <w:rPr>
          <w:sz w:val="28"/>
          <w:szCs w:val="28"/>
        </w:rPr>
        <w:t xml:space="preserve">The Fourth Amendment concerns implicated by </w:t>
      </w:r>
      <w:r w:rsidRPr="00382F4E">
        <w:rPr>
          <w:i/>
          <w:sz w:val="28"/>
          <w:szCs w:val="28"/>
        </w:rPr>
        <w:t>Carpenter</w:t>
      </w:r>
      <w:r w:rsidRPr="00382F4E">
        <w:rPr>
          <w:sz w:val="28"/>
          <w:szCs w:val="28"/>
        </w:rPr>
        <w:t xml:space="preserve"> are equally present in this case. The privacy interest in CSLI does not diminish when obtained via tower dump. In both cases, the issue is the government’s ability to use cell site records to </w:t>
      </w:r>
      <w:r w:rsidR="002B7EC1" w:rsidRPr="00382F4E">
        <w:rPr>
          <w:sz w:val="28"/>
          <w:szCs w:val="28"/>
        </w:rPr>
        <w:t>locate cell phone users</w:t>
      </w:r>
      <w:r w:rsidRPr="00382F4E">
        <w:rPr>
          <w:sz w:val="28"/>
          <w:szCs w:val="28"/>
        </w:rPr>
        <w:t xml:space="preserve"> on any given day at any given time, subject only to the data retention policies of wireless carriers. </w:t>
      </w:r>
      <w:r w:rsidR="002B7EC1" w:rsidRPr="00382F4E">
        <w:rPr>
          <w:sz w:val="28"/>
          <w:szCs w:val="28"/>
        </w:rPr>
        <w:t>And in both cases, acquisition of the records is a search.</w:t>
      </w:r>
    </w:p>
    <w:p w14:paraId="47B803E8" w14:textId="77777777" w:rsidR="00382F4E" w:rsidRPr="00382F4E" w:rsidRDefault="002B7EC1" w:rsidP="00382F4E">
      <w:pPr>
        <w:spacing w:after="160" w:line="259" w:lineRule="auto"/>
        <w:jc w:val="both"/>
        <w:rPr>
          <w:sz w:val="28"/>
          <w:szCs w:val="28"/>
        </w:rPr>
      </w:pPr>
      <w:r w:rsidRPr="00382F4E">
        <w:rPr>
          <w:sz w:val="28"/>
          <w:szCs w:val="28"/>
        </w:rPr>
        <w:t>Following</w:t>
      </w:r>
      <w:r w:rsidR="00B73F30" w:rsidRPr="00382F4E">
        <w:rPr>
          <w:sz w:val="28"/>
          <w:szCs w:val="28"/>
        </w:rPr>
        <w:t xml:space="preserve"> </w:t>
      </w:r>
      <w:r w:rsidR="00B73F30" w:rsidRPr="00382F4E">
        <w:rPr>
          <w:i/>
          <w:sz w:val="28"/>
          <w:szCs w:val="28"/>
        </w:rPr>
        <w:t>Carpenter</w:t>
      </w:r>
      <w:r w:rsidR="00B73F30" w:rsidRPr="00382F4E">
        <w:rPr>
          <w:sz w:val="28"/>
          <w:szCs w:val="28"/>
        </w:rPr>
        <w:t xml:space="preserve">, </w:t>
      </w:r>
      <w:r w:rsidRPr="00382F4E">
        <w:rPr>
          <w:sz w:val="28"/>
          <w:szCs w:val="28"/>
        </w:rPr>
        <w:t>the government should have obtained</w:t>
      </w:r>
      <w:r w:rsidR="00B73F30" w:rsidRPr="00382F4E">
        <w:rPr>
          <w:sz w:val="28"/>
          <w:szCs w:val="28"/>
        </w:rPr>
        <w:t xml:space="preserve"> </w:t>
      </w:r>
      <w:r w:rsidRPr="00382F4E">
        <w:rPr>
          <w:sz w:val="28"/>
          <w:szCs w:val="28"/>
        </w:rPr>
        <w:t>a warrant supported by probable cause before obtaining tower dump records</w:t>
      </w:r>
      <w:r w:rsidR="00382F4E" w:rsidRPr="00382F4E">
        <w:rPr>
          <w:sz w:val="28"/>
          <w:szCs w:val="28"/>
        </w:rPr>
        <w:t xml:space="preserve">. </w:t>
      </w:r>
      <w:r w:rsidR="00382F4E" w:rsidRPr="00382F4E">
        <w:rPr>
          <w:color w:val="000000"/>
          <w:sz w:val="28"/>
          <w:szCs w:val="28"/>
        </w:rPr>
        <w:t>138 S. Ct. at 2221.</w:t>
      </w:r>
      <w:r w:rsidR="00382F4E" w:rsidRPr="00382F4E">
        <w:rPr>
          <w:sz w:val="28"/>
          <w:szCs w:val="28"/>
        </w:rPr>
        <w:t xml:space="preserve"> Instead, the government used a § 2703(d) order, which requires only “reasonable grounds” for believing that the records were “relevant and material to an ongoing investigation.” 18 U.S.C. § 2703(d). As the </w:t>
      </w:r>
      <w:r w:rsidR="00382F4E" w:rsidRPr="00382F4E">
        <w:rPr>
          <w:i/>
          <w:sz w:val="28"/>
          <w:szCs w:val="28"/>
        </w:rPr>
        <w:t xml:space="preserve">Carpenter </w:t>
      </w:r>
      <w:r w:rsidR="00382F4E" w:rsidRPr="00382F4E">
        <w:rPr>
          <w:sz w:val="28"/>
          <w:szCs w:val="28"/>
        </w:rPr>
        <w:t xml:space="preserve">Court explains, “[t]hat showing falls well short of the probable cause required for a warrant” and would be a “‘gigantic’ departure from the probable cause rule.” </w:t>
      </w:r>
      <w:r w:rsidR="00382F4E" w:rsidRPr="00382F4E">
        <w:rPr>
          <w:i/>
          <w:sz w:val="28"/>
          <w:szCs w:val="28"/>
        </w:rPr>
        <w:t xml:space="preserve">Id. </w:t>
      </w:r>
      <w:r w:rsidR="00382F4E" w:rsidRPr="00382F4E">
        <w:rPr>
          <w:sz w:val="28"/>
          <w:szCs w:val="28"/>
        </w:rPr>
        <w:t>“Consequently,” the Court held, “an order issued under Section 2703(d) of the [SCA] is not a permissible mechanism for accessing historical cell-site records.”</w:t>
      </w:r>
    </w:p>
    <w:p w14:paraId="1EE68D7B" w14:textId="75825AE5" w:rsidR="00A11DF8" w:rsidRDefault="0062058F" w:rsidP="00382F4E">
      <w:pPr>
        <w:spacing w:after="160" w:line="259" w:lineRule="auto"/>
        <w:jc w:val="both"/>
        <w:rPr>
          <w:color w:val="000000"/>
          <w:sz w:val="28"/>
          <w:szCs w:val="28"/>
        </w:rPr>
      </w:pPr>
      <w:r w:rsidRPr="00382F4E">
        <w:rPr>
          <w:color w:val="000000"/>
          <w:sz w:val="28"/>
          <w:szCs w:val="28"/>
        </w:rPr>
        <w:t xml:space="preserve">As </w:t>
      </w:r>
      <w:r w:rsidR="00382F4E" w:rsidRPr="00382F4E">
        <w:rPr>
          <w:color w:val="000000"/>
          <w:sz w:val="28"/>
          <w:szCs w:val="28"/>
        </w:rPr>
        <w:t>the Supreme Court</w:t>
      </w:r>
      <w:r w:rsidRPr="00382F4E">
        <w:rPr>
          <w:color w:val="000000"/>
          <w:sz w:val="28"/>
          <w:szCs w:val="28"/>
        </w:rPr>
        <w:t xml:space="preserve"> has repeatedly noted, “the warrant requirement is ‘an important working part of our machinery of government,’ not merely ‘an inconvenience to be somehow “weighed” against th</w:t>
      </w:r>
      <w:r w:rsidR="00382F4E" w:rsidRPr="00382F4E">
        <w:rPr>
          <w:color w:val="000000"/>
          <w:sz w:val="28"/>
          <w:szCs w:val="28"/>
        </w:rPr>
        <w:t>e claims of police efficiency.’</w:t>
      </w:r>
      <w:r w:rsidRPr="00382F4E">
        <w:rPr>
          <w:color w:val="000000"/>
          <w:sz w:val="28"/>
          <w:szCs w:val="28"/>
        </w:rPr>
        <w:t>” </w:t>
      </w:r>
      <w:r w:rsidRPr="00382F4E">
        <w:rPr>
          <w:i/>
          <w:iCs/>
          <w:color w:val="000000"/>
          <w:sz w:val="28"/>
          <w:szCs w:val="28"/>
        </w:rPr>
        <w:t>Riley,</w:t>
      </w:r>
      <w:r w:rsidRPr="00382F4E">
        <w:rPr>
          <w:color w:val="000000"/>
          <w:sz w:val="28"/>
          <w:szCs w:val="28"/>
        </w:rPr>
        <w:t xml:space="preserve"> 134 </w:t>
      </w:r>
      <w:r w:rsidR="00C2097F" w:rsidRPr="00382F4E">
        <w:rPr>
          <w:color w:val="000000"/>
          <w:sz w:val="28"/>
          <w:szCs w:val="28"/>
        </w:rPr>
        <w:t>S.</w:t>
      </w:r>
      <w:r w:rsidR="00C2097F">
        <w:rPr>
          <w:color w:val="000000"/>
          <w:sz w:val="28"/>
          <w:szCs w:val="28"/>
        </w:rPr>
        <w:t xml:space="preserve"> </w:t>
      </w:r>
      <w:r w:rsidR="00C2097F" w:rsidRPr="00382F4E">
        <w:rPr>
          <w:color w:val="000000"/>
          <w:sz w:val="28"/>
          <w:szCs w:val="28"/>
        </w:rPr>
        <w:t>Ct.</w:t>
      </w:r>
      <w:r w:rsidRPr="00382F4E">
        <w:rPr>
          <w:color w:val="000000"/>
          <w:sz w:val="28"/>
          <w:szCs w:val="28"/>
        </w:rPr>
        <w:t xml:space="preserve"> at 2493 (quoting </w:t>
      </w:r>
      <w:r w:rsidRPr="00382F4E">
        <w:rPr>
          <w:i/>
          <w:iCs/>
          <w:color w:val="000000"/>
          <w:sz w:val="28"/>
          <w:szCs w:val="28"/>
        </w:rPr>
        <w:t>Coolidge v. New Hampshire,</w:t>
      </w:r>
      <w:r w:rsidRPr="00382F4E">
        <w:rPr>
          <w:color w:val="000000"/>
          <w:sz w:val="28"/>
          <w:szCs w:val="28"/>
        </w:rPr>
        <w:t xml:space="preserve"> 403 U.S. 443, 481 (1971)). Where, as here, the data available to law enforcement can </w:t>
      </w:r>
      <w:r w:rsidRPr="00382F4E">
        <w:rPr>
          <w:color w:val="000000"/>
          <w:sz w:val="28"/>
          <w:szCs w:val="28"/>
        </w:rPr>
        <w:lastRenderedPageBreak/>
        <w:t>reveal personal and private information, not just about a person's whereabouts over time, “but also [about] the people and groups they choose to affiliate with and when they actually do so,” </w:t>
      </w:r>
      <w:r w:rsidRPr="00382F4E">
        <w:rPr>
          <w:i/>
          <w:iCs/>
          <w:color w:val="000000"/>
          <w:sz w:val="28"/>
          <w:szCs w:val="28"/>
        </w:rPr>
        <w:t>State v. Earls,</w:t>
      </w:r>
      <w:r w:rsidRPr="00382F4E">
        <w:rPr>
          <w:color w:val="000000"/>
          <w:sz w:val="28"/>
          <w:szCs w:val="28"/>
        </w:rPr>
        <w:t xml:space="preserve"> 70 A.3d 630, 642 (N.J. 2013), a warrant should be required. </w:t>
      </w:r>
      <w:r w:rsidR="00382F4E" w:rsidRPr="00382F4E">
        <w:rPr>
          <w:color w:val="000000"/>
          <w:sz w:val="28"/>
          <w:szCs w:val="28"/>
        </w:rPr>
        <w:t xml:space="preserve">“Before compelling a wireless carrier to turn over a subscriber’s CSLI, the Government’s obligation is a familiar one – get a warrant.” </w:t>
      </w:r>
      <w:r w:rsidR="00382F4E" w:rsidRPr="00382F4E">
        <w:rPr>
          <w:i/>
          <w:color w:val="000000"/>
          <w:sz w:val="28"/>
          <w:szCs w:val="28"/>
        </w:rPr>
        <w:t>Carpenter</w:t>
      </w:r>
      <w:r w:rsidR="00382F4E" w:rsidRPr="00382F4E">
        <w:rPr>
          <w:color w:val="000000"/>
          <w:sz w:val="28"/>
          <w:szCs w:val="28"/>
        </w:rPr>
        <w:t>, 128 S. Ct. at 2221.</w:t>
      </w:r>
    </w:p>
    <w:p w14:paraId="4FEA9AF7" w14:textId="1A520BE5" w:rsidR="00F84F76" w:rsidRPr="00F84F76" w:rsidRDefault="00F84F76" w:rsidP="00F84F76">
      <w:pPr>
        <w:spacing w:after="160" w:line="259" w:lineRule="auto"/>
        <w:jc w:val="center"/>
        <w:rPr>
          <w:b/>
          <w:color w:val="000000"/>
          <w:sz w:val="28"/>
          <w:szCs w:val="28"/>
        </w:rPr>
      </w:pPr>
      <w:r>
        <w:rPr>
          <w:b/>
          <w:color w:val="000000"/>
          <w:sz w:val="28"/>
          <w:szCs w:val="28"/>
        </w:rPr>
        <w:t>Conclusion</w:t>
      </w:r>
    </w:p>
    <w:p w14:paraId="0C44E379" w14:textId="772F7416" w:rsidR="00F84F76" w:rsidRDefault="00F84F76" w:rsidP="00382F4E">
      <w:pPr>
        <w:spacing w:after="160" w:line="259" w:lineRule="auto"/>
        <w:jc w:val="both"/>
        <w:rPr>
          <w:color w:val="000000"/>
          <w:sz w:val="28"/>
          <w:szCs w:val="28"/>
        </w:rPr>
      </w:pPr>
      <w:r>
        <w:rPr>
          <w:color w:val="000000"/>
          <w:sz w:val="28"/>
          <w:szCs w:val="28"/>
        </w:rPr>
        <w:t xml:space="preserve">The government failed to get a warrant for nine tower dumps requesting records from five difference wireless carriers, obtaining the private cell phone records for an unknown number of individuals in Lee County, North Carolina. Instead, the government obtained the records using a provision in the SCA that plainly does not authorize tower dumps. Indeed, tower dumps likely run afoul of the Fourth Amendment altogether to the extent they function as </w:t>
      </w:r>
      <w:r w:rsidR="00B04982">
        <w:rPr>
          <w:color w:val="000000"/>
          <w:sz w:val="28"/>
          <w:szCs w:val="28"/>
        </w:rPr>
        <w:t xml:space="preserve">prohibited general warrants. But in light of the Supreme Court’s recent decision in </w:t>
      </w:r>
      <w:r w:rsidR="00B04982">
        <w:rPr>
          <w:i/>
          <w:color w:val="000000"/>
          <w:sz w:val="28"/>
          <w:szCs w:val="28"/>
        </w:rPr>
        <w:t>Carpenter</w:t>
      </w:r>
      <w:r w:rsidR="00B04982">
        <w:rPr>
          <w:color w:val="000000"/>
          <w:sz w:val="28"/>
          <w:szCs w:val="28"/>
        </w:rPr>
        <w:t xml:space="preserve">, the Fourth Amendment demands no less than a warrant based on probable cause to obtain cell site data through a tower dump. The government’s failure to do so here thus requires suppression of the tower dump records and their fruits under the Fourth Amendment, </w:t>
      </w:r>
      <w:r w:rsidR="00B04982">
        <w:rPr>
          <w:sz w:val="28"/>
          <w:szCs w:val="28"/>
        </w:rPr>
        <w:t>Article I, § 20 of the North Carolina State Constitution;</w:t>
      </w:r>
      <w:r w:rsidR="00B04982" w:rsidRPr="00345C32">
        <w:rPr>
          <w:sz w:val="28"/>
          <w:szCs w:val="28"/>
        </w:rPr>
        <w:t xml:space="preserve"> </w:t>
      </w:r>
      <w:r w:rsidR="00B04982">
        <w:rPr>
          <w:sz w:val="28"/>
          <w:szCs w:val="28"/>
        </w:rPr>
        <w:t xml:space="preserve">and </w:t>
      </w:r>
      <w:r w:rsidR="00B04982" w:rsidRPr="00345C32">
        <w:rPr>
          <w:sz w:val="28"/>
          <w:szCs w:val="28"/>
        </w:rPr>
        <w:t>North Caro</w:t>
      </w:r>
      <w:r w:rsidR="00B04982">
        <w:rPr>
          <w:sz w:val="28"/>
          <w:szCs w:val="28"/>
        </w:rPr>
        <w:t>lina General Statute 15A-974.</w:t>
      </w:r>
    </w:p>
    <w:p w14:paraId="43D63FAD" w14:textId="77777777" w:rsidR="00A11DF8" w:rsidRDefault="00A11DF8" w:rsidP="00A11DF8">
      <w:pPr>
        <w:jc w:val="both"/>
        <w:rPr>
          <w:sz w:val="28"/>
          <w:szCs w:val="28"/>
        </w:rPr>
      </w:pPr>
    </w:p>
    <w:p w14:paraId="330DCC49" w14:textId="702DB728" w:rsidR="00D85FF4" w:rsidRDefault="00B95C01" w:rsidP="00AB70A4">
      <w:pPr>
        <w:rPr>
          <w:sz w:val="28"/>
          <w:szCs w:val="28"/>
        </w:rPr>
      </w:pPr>
      <w:r>
        <w:rPr>
          <w:b/>
          <w:sz w:val="28"/>
          <w:szCs w:val="28"/>
        </w:rPr>
        <w:t xml:space="preserve">WHEREFORE, </w:t>
      </w:r>
      <w:r>
        <w:rPr>
          <w:sz w:val="28"/>
          <w:szCs w:val="28"/>
        </w:rPr>
        <w:t xml:space="preserve">the Defendant respectfully prays unto his Honorable Court for the following relief: </w:t>
      </w:r>
    </w:p>
    <w:p w14:paraId="24D87158" w14:textId="77777777" w:rsidR="007F5431" w:rsidRDefault="007F5431" w:rsidP="00AB70A4">
      <w:pPr>
        <w:rPr>
          <w:sz w:val="28"/>
          <w:szCs w:val="28"/>
        </w:rPr>
      </w:pPr>
    </w:p>
    <w:p w14:paraId="34C456B9" w14:textId="3FFB994E" w:rsidR="00B95C01" w:rsidRDefault="00B95C01" w:rsidP="00B95C01">
      <w:pPr>
        <w:pStyle w:val="ListParagraph"/>
        <w:numPr>
          <w:ilvl w:val="0"/>
          <w:numId w:val="2"/>
        </w:numPr>
        <w:rPr>
          <w:sz w:val="28"/>
          <w:szCs w:val="28"/>
        </w:rPr>
      </w:pPr>
      <w:r>
        <w:rPr>
          <w:sz w:val="28"/>
          <w:szCs w:val="28"/>
        </w:rPr>
        <w:t xml:space="preserve">Enter an order suppressing the </w:t>
      </w:r>
      <w:r w:rsidR="00B04982">
        <w:rPr>
          <w:sz w:val="28"/>
          <w:szCs w:val="28"/>
        </w:rPr>
        <w:t>tower dump records obtained by the government</w:t>
      </w:r>
      <w:r w:rsidR="00396EF2">
        <w:rPr>
          <w:sz w:val="28"/>
          <w:szCs w:val="28"/>
        </w:rPr>
        <w:t>; and</w:t>
      </w:r>
    </w:p>
    <w:p w14:paraId="5DDAE578" w14:textId="77777777" w:rsidR="0035279C" w:rsidRDefault="0035279C" w:rsidP="009B3896">
      <w:pPr>
        <w:pStyle w:val="ListParagraph"/>
        <w:rPr>
          <w:sz w:val="28"/>
          <w:szCs w:val="28"/>
        </w:rPr>
      </w:pPr>
    </w:p>
    <w:p w14:paraId="09C8F068" w14:textId="0BC64085" w:rsidR="0035279C" w:rsidRPr="007F5431" w:rsidRDefault="007F5431" w:rsidP="00B95C01">
      <w:pPr>
        <w:pStyle w:val="ListParagraph"/>
        <w:numPr>
          <w:ilvl w:val="0"/>
          <w:numId w:val="2"/>
        </w:numPr>
        <w:rPr>
          <w:sz w:val="28"/>
          <w:szCs w:val="28"/>
        </w:rPr>
      </w:pPr>
      <w:r w:rsidRPr="000812A7">
        <w:rPr>
          <w:sz w:val="28"/>
          <w:szCs w:val="28"/>
        </w:rPr>
        <w:t xml:space="preserve">Redactions of any interview videos of references to the results of the tower dump records; </w:t>
      </w:r>
      <w:r w:rsidR="0035279C" w:rsidRPr="007F5431">
        <w:rPr>
          <w:sz w:val="28"/>
          <w:szCs w:val="28"/>
        </w:rPr>
        <w:t>and</w:t>
      </w:r>
    </w:p>
    <w:p w14:paraId="2B5FFC64" w14:textId="77777777" w:rsidR="00396EF2" w:rsidRDefault="00396EF2" w:rsidP="00396EF2">
      <w:pPr>
        <w:pStyle w:val="ListParagraph"/>
        <w:rPr>
          <w:sz w:val="28"/>
          <w:szCs w:val="28"/>
        </w:rPr>
      </w:pPr>
    </w:p>
    <w:p w14:paraId="7F592F8C" w14:textId="72A126F2" w:rsidR="00396EF2" w:rsidRDefault="00396EF2" w:rsidP="00B95C01">
      <w:pPr>
        <w:pStyle w:val="ListParagraph"/>
        <w:numPr>
          <w:ilvl w:val="0"/>
          <w:numId w:val="2"/>
        </w:numPr>
        <w:rPr>
          <w:sz w:val="28"/>
          <w:szCs w:val="28"/>
        </w:rPr>
      </w:pPr>
      <w:r>
        <w:rPr>
          <w:sz w:val="28"/>
          <w:szCs w:val="28"/>
        </w:rPr>
        <w:t xml:space="preserve">For any other and further relief to which the Defendant may be entitled and which the Court may deem just and proper. </w:t>
      </w:r>
    </w:p>
    <w:p w14:paraId="21CE4489" w14:textId="0441CD75" w:rsidR="00396EF2" w:rsidRDefault="00396EF2" w:rsidP="00396EF2">
      <w:pPr>
        <w:rPr>
          <w:sz w:val="28"/>
          <w:szCs w:val="28"/>
        </w:rPr>
      </w:pPr>
    </w:p>
    <w:p w14:paraId="6B73AB50" w14:textId="26D489A3" w:rsidR="00396EF2" w:rsidRDefault="003E76DD" w:rsidP="00396EF2">
      <w:pPr>
        <w:rPr>
          <w:sz w:val="28"/>
          <w:szCs w:val="28"/>
        </w:rPr>
      </w:pPr>
      <w:r>
        <w:rPr>
          <w:sz w:val="28"/>
          <w:szCs w:val="28"/>
        </w:rPr>
        <w:t>Respectfully submitted this the 1</w:t>
      </w:r>
      <w:r w:rsidR="00B04982">
        <w:rPr>
          <w:sz w:val="28"/>
          <w:szCs w:val="28"/>
        </w:rPr>
        <w:t>8</w:t>
      </w:r>
      <w:r w:rsidRPr="009B3896">
        <w:rPr>
          <w:sz w:val="28"/>
          <w:szCs w:val="28"/>
          <w:vertAlign w:val="superscript"/>
        </w:rPr>
        <w:t>th</w:t>
      </w:r>
      <w:r>
        <w:rPr>
          <w:sz w:val="28"/>
          <w:szCs w:val="28"/>
        </w:rPr>
        <w:t xml:space="preserve"> day of </w:t>
      </w:r>
      <w:r w:rsidR="00B04982">
        <w:rPr>
          <w:sz w:val="28"/>
          <w:szCs w:val="28"/>
        </w:rPr>
        <w:t>September</w:t>
      </w:r>
      <w:r>
        <w:rPr>
          <w:sz w:val="28"/>
          <w:szCs w:val="28"/>
        </w:rPr>
        <w:t>, 2018.</w:t>
      </w:r>
    </w:p>
    <w:p w14:paraId="07441E45" w14:textId="5B49F7BC" w:rsidR="003E76DD" w:rsidRDefault="003E76DD" w:rsidP="00396EF2">
      <w:pPr>
        <w:rPr>
          <w:sz w:val="28"/>
          <w:szCs w:val="28"/>
        </w:rPr>
      </w:pPr>
    </w:p>
    <w:p w14:paraId="3FB1C9C1" w14:textId="7690B3AC" w:rsidR="003E76DD" w:rsidRDefault="003E76DD" w:rsidP="00396EF2">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_________________________</w:t>
      </w:r>
    </w:p>
    <w:p w14:paraId="2849CB24" w14:textId="1396547D" w:rsidR="009B3896" w:rsidRDefault="003E76DD" w:rsidP="00396EF2">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Emmanuel Sanders, Pro Se</w:t>
      </w:r>
    </w:p>
    <w:p w14:paraId="0933F07E" w14:textId="77777777" w:rsidR="009B3896" w:rsidRDefault="009B3896">
      <w:pPr>
        <w:rPr>
          <w:sz w:val="28"/>
          <w:szCs w:val="28"/>
        </w:rPr>
      </w:pPr>
      <w:r>
        <w:rPr>
          <w:sz w:val="28"/>
          <w:szCs w:val="28"/>
        </w:rPr>
        <w:br w:type="page"/>
      </w:r>
    </w:p>
    <w:p w14:paraId="6E6B84EE" w14:textId="77777777" w:rsidR="0035279C" w:rsidRPr="00FA6BAC" w:rsidRDefault="0035279C" w:rsidP="0035279C">
      <w:pPr>
        <w:rPr>
          <w:sz w:val="28"/>
          <w:szCs w:val="28"/>
        </w:rPr>
      </w:pPr>
      <w:r>
        <w:rPr>
          <w:sz w:val="28"/>
          <w:szCs w:val="28"/>
        </w:rPr>
        <w:lastRenderedPageBreak/>
        <w:t>STATE OF NORTH CAROLINA</w:t>
      </w:r>
      <w:r>
        <w:rPr>
          <w:sz w:val="28"/>
          <w:szCs w:val="28"/>
        </w:rPr>
        <w:tab/>
      </w:r>
      <w:r w:rsidRPr="00FA6BAC">
        <w:rPr>
          <w:sz w:val="28"/>
          <w:szCs w:val="28"/>
        </w:rPr>
        <w:t>IN THE GENERAL COURT OF JUSTICE</w:t>
      </w:r>
    </w:p>
    <w:p w14:paraId="2DD7A389" w14:textId="77777777" w:rsidR="0035279C" w:rsidRPr="00FA6BAC" w:rsidRDefault="0035279C" w:rsidP="0035279C">
      <w:pPr>
        <w:rPr>
          <w:sz w:val="28"/>
          <w:szCs w:val="28"/>
        </w:rPr>
      </w:pPr>
      <w:r w:rsidRPr="00FA6BAC">
        <w:rPr>
          <w:sz w:val="28"/>
          <w:szCs w:val="28"/>
        </w:rPr>
        <w:t>LEE COUNTY</w:t>
      </w: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t>SUPERIOR COURT DIVISION</w:t>
      </w:r>
    </w:p>
    <w:p w14:paraId="44A98906" w14:textId="77777777" w:rsidR="0035279C" w:rsidRPr="00FA6BAC" w:rsidRDefault="0035279C" w:rsidP="0035279C">
      <w:pPr>
        <w:rPr>
          <w:sz w:val="28"/>
          <w:szCs w:val="28"/>
        </w:rPr>
      </w:pPr>
    </w:p>
    <w:p w14:paraId="36FA853F" w14:textId="77777777" w:rsidR="0035279C" w:rsidRPr="00FA6BAC" w:rsidRDefault="0035279C" w:rsidP="0035279C">
      <w:pPr>
        <w:rPr>
          <w:sz w:val="28"/>
          <w:szCs w:val="28"/>
        </w:rPr>
      </w:pPr>
      <w:r w:rsidRPr="00FA6BAC">
        <w:rPr>
          <w:sz w:val="28"/>
          <w:szCs w:val="28"/>
        </w:rPr>
        <w:t>STATE OF NORTH CAROLINA</w:t>
      </w:r>
      <w:r w:rsidRPr="00FA6BAC">
        <w:rPr>
          <w:sz w:val="28"/>
          <w:szCs w:val="28"/>
        </w:rPr>
        <w:tab/>
        <w:t>)</w:t>
      </w:r>
      <w:r w:rsidRPr="00FA6BAC">
        <w:rPr>
          <w:sz w:val="28"/>
          <w:szCs w:val="28"/>
        </w:rPr>
        <w:tab/>
        <w:t>FILE NO</w:t>
      </w:r>
      <w:r>
        <w:rPr>
          <w:sz w:val="28"/>
          <w:szCs w:val="28"/>
        </w:rPr>
        <w:t>s</w:t>
      </w:r>
      <w:r w:rsidRPr="00FA6BAC">
        <w:rPr>
          <w:sz w:val="28"/>
          <w:szCs w:val="28"/>
        </w:rPr>
        <w:t xml:space="preserve">. </w:t>
      </w:r>
      <w:r>
        <w:rPr>
          <w:sz w:val="28"/>
          <w:szCs w:val="28"/>
        </w:rPr>
        <w:tab/>
      </w:r>
      <w:r w:rsidRPr="00FA6BAC">
        <w:rPr>
          <w:sz w:val="28"/>
          <w:szCs w:val="28"/>
        </w:rPr>
        <w:t>14CRS 53533</w:t>
      </w:r>
      <w:r>
        <w:rPr>
          <w:sz w:val="28"/>
          <w:szCs w:val="28"/>
        </w:rPr>
        <w:t>A</w:t>
      </w:r>
    </w:p>
    <w:p w14:paraId="43D6821A" w14:textId="77777777" w:rsidR="0035279C" w:rsidRPr="00FA6BAC" w:rsidRDefault="0035279C" w:rsidP="0035279C">
      <w:pPr>
        <w:rPr>
          <w:sz w:val="28"/>
          <w:szCs w:val="28"/>
        </w:rPr>
      </w:pP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t>)</w:t>
      </w:r>
      <w:r>
        <w:rPr>
          <w:sz w:val="28"/>
          <w:szCs w:val="28"/>
        </w:rPr>
        <w:tab/>
      </w:r>
      <w:r>
        <w:rPr>
          <w:sz w:val="28"/>
          <w:szCs w:val="28"/>
        </w:rPr>
        <w:tab/>
        <w:t xml:space="preserve">         </w:t>
      </w:r>
      <w:r>
        <w:rPr>
          <w:sz w:val="28"/>
          <w:szCs w:val="28"/>
        </w:rPr>
        <w:tab/>
        <w:t>15CRS 00061A</w:t>
      </w:r>
    </w:p>
    <w:p w14:paraId="1749EC79" w14:textId="77777777" w:rsidR="0035279C" w:rsidRPr="00FA6BAC" w:rsidRDefault="0035279C" w:rsidP="0035279C">
      <w:pPr>
        <w:rPr>
          <w:sz w:val="28"/>
          <w:szCs w:val="28"/>
        </w:rPr>
      </w:pPr>
      <w:r w:rsidRPr="00FA6BAC">
        <w:rPr>
          <w:sz w:val="28"/>
          <w:szCs w:val="28"/>
        </w:rPr>
        <w:tab/>
      </w:r>
      <w:r w:rsidRPr="00FA6BAC">
        <w:rPr>
          <w:sz w:val="28"/>
          <w:szCs w:val="28"/>
        </w:rPr>
        <w:tab/>
        <w:t>v.</w:t>
      </w:r>
      <w:r w:rsidRPr="00FA6BAC">
        <w:rPr>
          <w:sz w:val="28"/>
          <w:szCs w:val="28"/>
        </w:rPr>
        <w:tab/>
      </w:r>
      <w:r w:rsidRPr="00FA6BAC">
        <w:rPr>
          <w:sz w:val="28"/>
          <w:szCs w:val="28"/>
        </w:rPr>
        <w:tab/>
      </w:r>
      <w:r w:rsidRPr="00FA6BAC">
        <w:rPr>
          <w:sz w:val="28"/>
          <w:szCs w:val="28"/>
        </w:rPr>
        <w:tab/>
      </w:r>
      <w:r w:rsidRPr="00FA6BAC">
        <w:rPr>
          <w:sz w:val="28"/>
          <w:szCs w:val="28"/>
        </w:rPr>
        <w:tab/>
        <w:t>)</w:t>
      </w:r>
      <w:r>
        <w:rPr>
          <w:sz w:val="28"/>
          <w:szCs w:val="28"/>
        </w:rPr>
        <w:tab/>
      </w:r>
      <w:r>
        <w:rPr>
          <w:sz w:val="28"/>
          <w:szCs w:val="28"/>
        </w:rPr>
        <w:tab/>
      </w:r>
      <w:r>
        <w:rPr>
          <w:sz w:val="28"/>
          <w:szCs w:val="28"/>
        </w:rPr>
        <w:tab/>
        <w:t>17CRS 00206A</w:t>
      </w:r>
    </w:p>
    <w:p w14:paraId="0A01AD4F" w14:textId="77777777" w:rsidR="0035279C" w:rsidRPr="00FA6BAC" w:rsidRDefault="0035279C" w:rsidP="0035279C">
      <w:pPr>
        <w:rPr>
          <w:sz w:val="28"/>
          <w:szCs w:val="28"/>
        </w:rPr>
      </w:pP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r>
      <w:r w:rsidRPr="00FA6BAC">
        <w:rPr>
          <w:sz w:val="28"/>
          <w:szCs w:val="28"/>
        </w:rPr>
        <w:tab/>
        <w:t>)</w:t>
      </w:r>
    </w:p>
    <w:p w14:paraId="7D6270E2" w14:textId="77777777" w:rsidR="0035279C" w:rsidRPr="00FA6BAC" w:rsidRDefault="0035279C" w:rsidP="0035279C">
      <w:pPr>
        <w:rPr>
          <w:sz w:val="28"/>
          <w:szCs w:val="28"/>
        </w:rPr>
      </w:pPr>
      <w:r w:rsidRPr="00FA6BAC">
        <w:rPr>
          <w:sz w:val="28"/>
          <w:szCs w:val="28"/>
        </w:rPr>
        <w:t>EMMANUEL SANDERS</w:t>
      </w:r>
      <w:r w:rsidRPr="00FA6BAC">
        <w:rPr>
          <w:sz w:val="28"/>
          <w:szCs w:val="28"/>
        </w:rPr>
        <w:tab/>
      </w:r>
      <w:r w:rsidRPr="00FA6BAC">
        <w:rPr>
          <w:sz w:val="28"/>
          <w:szCs w:val="28"/>
        </w:rPr>
        <w:tab/>
        <w:t>)</w:t>
      </w:r>
    </w:p>
    <w:p w14:paraId="44918F5A" w14:textId="77777777" w:rsidR="0035279C" w:rsidRPr="00FA6BAC" w:rsidRDefault="0035279C" w:rsidP="0035279C">
      <w:pPr>
        <w:rPr>
          <w:sz w:val="28"/>
          <w:szCs w:val="28"/>
        </w:rPr>
      </w:pPr>
    </w:p>
    <w:p w14:paraId="1F355646" w14:textId="77777777" w:rsidR="0035279C" w:rsidRPr="00FA6BAC" w:rsidRDefault="0035279C" w:rsidP="0035279C">
      <w:pPr>
        <w:jc w:val="center"/>
        <w:rPr>
          <w:sz w:val="28"/>
          <w:szCs w:val="28"/>
        </w:rPr>
      </w:pPr>
      <w:r w:rsidRPr="00FA6BAC">
        <w:rPr>
          <w:sz w:val="28"/>
          <w:szCs w:val="28"/>
        </w:rPr>
        <w:t>******************************</w:t>
      </w:r>
    </w:p>
    <w:p w14:paraId="5C3B8874" w14:textId="39BFDD61" w:rsidR="0035279C" w:rsidRDefault="0035279C" w:rsidP="0035279C">
      <w:pPr>
        <w:jc w:val="center"/>
        <w:rPr>
          <w:sz w:val="28"/>
          <w:szCs w:val="28"/>
        </w:rPr>
      </w:pPr>
      <w:r>
        <w:rPr>
          <w:sz w:val="28"/>
          <w:szCs w:val="28"/>
        </w:rPr>
        <w:t xml:space="preserve">AFFIDAVIT OF STANDBY COUNSEL IN SUPPORT OF MOTION TO SUPPRESS </w:t>
      </w:r>
      <w:r w:rsidR="00D8347E">
        <w:rPr>
          <w:sz w:val="28"/>
          <w:szCs w:val="28"/>
        </w:rPr>
        <w:t>TOWER DUMP RECORDS</w:t>
      </w:r>
    </w:p>
    <w:p w14:paraId="72EEBFDA" w14:textId="77777777" w:rsidR="0035279C" w:rsidRPr="00FA6BAC" w:rsidRDefault="0035279C" w:rsidP="0035279C">
      <w:pPr>
        <w:jc w:val="center"/>
        <w:rPr>
          <w:sz w:val="28"/>
          <w:szCs w:val="28"/>
        </w:rPr>
      </w:pPr>
      <w:r w:rsidRPr="00FA6BAC">
        <w:rPr>
          <w:sz w:val="28"/>
          <w:szCs w:val="28"/>
        </w:rPr>
        <w:t>******************************</w:t>
      </w:r>
    </w:p>
    <w:p w14:paraId="60894DA8" w14:textId="3E609E7A" w:rsidR="001B68EE" w:rsidRDefault="002630F4" w:rsidP="00AB70A4">
      <w:pPr>
        <w:rPr>
          <w:sz w:val="28"/>
          <w:szCs w:val="28"/>
        </w:rPr>
      </w:pPr>
      <w:r>
        <w:rPr>
          <w:b/>
          <w:sz w:val="28"/>
          <w:szCs w:val="28"/>
        </w:rPr>
        <w:t>NOW COMES</w:t>
      </w:r>
      <w:r>
        <w:rPr>
          <w:sz w:val="28"/>
          <w:szCs w:val="28"/>
        </w:rPr>
        <w:t xml:space="preserve"> </w:t>
      </w:r>
      <w:r w:rsidR="0035279C">
        <w:rPr>
          <w:sz w:val="28"/>
          <w:szCs w:val="28"/>
        </w:rPr>
        <w:t xml:space="preserve">Kellie Mannette, </w:t>
      </w:r>
      <w:r w:rsidR="009B3896">
        <w:rPr>
          <w:sz w:val="28"/>
          <w:szCs w:val="28"/>
        </w:rPr>
        <w:t xml:space="preserve">standby counsel for Emmanuel Sanders, </w:t>
      </w:r>
      <w:r>
        <w:rPr>
          <w:sz w:val="28"/>
          <w:szCs w:val="28"/>
        </w:rPr>
        <w:t>and being first duly sworn and depose</w:t>
      </w:r>
      <w:r w:rsidR="009B3896">
        <w:rPr>
          <w:sz w:val="28"/>
          <w:szCs w:val="28"/>
        </w:rPr>
        <w:t>d,</w:t>
      </w:r>
      <w:r>
        <w:rPr>
          <w:sz w:val="28"/>
          <w:szCs w:val="28"/>
        </w:rPr>
        <w:t xml:space="preserve"> says:</w:t>
      </w:r>
    </w:p>
    <w:p w14:paraId="0719BF01" w14:textId="0643E212" w:rsidR="009B3896" w:rsidRDefault="009B3896" w:rsidP="009B3896">
      <w:pPr>
        <w:pStyle w:val="ListParagraph"/>
        <w:rPr>
          <w:sz w:val="28"/>
          <w:szCs w:val="28"/>
        </w:rPr>
      </w:pPr>
    </w:p>
    <w:p w14:paraId="5ACB5091" w14:textId="77777777" w:rsidR="005B3BC9" w:rsidRDefault="005B3BC9" w:rsidP="005B3BC9">
      <w:pPr>
        <w:pStyle w:val="ListParagraph"/>
        <w:numPr>
          <w:ilvl w:val="0"/>
          <w:numId w:val="1"/>
        </w:numPr>
        <w:jc w:val="both"/>
        <w:rPr>
          <w:sz w:val="28"/>
          <w:szCs w:val="28"/>
        </w:rPr>
      </w:pPr>
      <w:r>
        <w:rPr>
          <w:sz w:val="28"/>
          <w:szCs w:val="28"/>
        </w:rPr>
        <w:t>The sources of information in this affidavit are discovery provided by the state and undersigned’s investigation of this matter.</w:t>
      </w:r>
    </w:p>
    <w:p w14:paraId="44DEA93C" w14:textId="77777777" w:rsidR="005B3BC9" w:rsidRDefault="005B3BC9" w:rsidP="005B3BC9">
      <w:pPr>
        <w:pStyle w:val="ListParagraph"/>
        <w:jc w:val="both"/>
        <w:rPr>
          <w:sz w:val="28"/>
          <w:szCs w:val="28"/>
        </w:rPr>
      </w:pPr>
    </w:p>
    <w:p w14:paraId="2D0F457B" w14:textId="77777777" w:rsidR="005B3BC9" w:rsidRDefault="005B3BC9" w:rsidP="005B3BC9">
      <w:pPr>
        <w:pStyle w:val="ListParagraph"/>
        <w:numPr>
          <w:ilvl w:val="0"/>
          <w:numId w:val="1"/>
        </w:numPr>
        <w:jc w:val="both"/>
        <w:rPr>
          <w:sz w:val="28"/>
          <w:szCs w:val="28"/>
        </w:rPr>
      </w:pPr>
      <w:r w:rsidRPr="002630F4">
        <w:rPr>
          <w:sz w:val="28"/>
          <w:szCs w:val="28"/>
        </w:rPr>
        <w:t>The Defendant is charged with</w:t>
      </w:r>
      <w:r>
        <w:rPr>
          <w:sz w:val="28"/>
          <w:szCs w:val="28"/>
        </w:rPr>
        <w:t xml:space="preserve"> first degree murder, robbery with a dangerous weapon, first degree kidnapping, conspiracy to commit robbery with a dangerous weapon, first degree burglary, and conspiracy to commit burglary</w:t>
      </w:r>
      <w:r w:rsidRPr="002630F4">
        <w:rPr>
          <w:sz w:val="28"/>
          <w:szCs w:val="28"/>
        </w:rPr>
        <w:t>. The date of the alleged offense is November 22, 2013. The alleged murder victim is Andy Giles.</w:t>
      </w:r>
    </w:p>
    <w:p w14:paraId="3DE93BA0" w14:textId="77777777" w:rsidR="005B3BC9" w:rsidRPr="002630F4" w:rsidRDefault="005B3BC9" w:rsidP="005B3BC9">
      <w:pPr>
        <w:pStyle w:val="ListParagraph"/>
        <w:jc w:val="both"/>
        <w:rPr>
          <w:sz w:val="28"/>
          <w:szCs w:val="28"/>
        </w:rPr>
      </w:pPr>
    </w:p>
    <w:p w14:paraId="37A14EF4" w14:textId="77777777" w:rsidR="005B3BC9" w:rsidRDefault="005B3BC9" w:rsidP="005B3BC9">
      <w:pPr>
        <w:pStyle w:val="ListParagraph"/>
        <w:numPr>
          <w:ilvl w:val="0"/>
          <w:numId w:val="1"/>
        </w:numPr>
        <w:jc w:val="both"/>
        <w:rPr>
          <w:sz w:val="28"/>
          <w:szCs w:val="28"/>
        </w:rPr>
      </w:pPr>
      <w:r>
        <w:rPr>
          <w:sz w:val="28"/>
          <w:szCs w:val="28"/>
        </w:rPr>
        <w:t xml:space="preserve">At about 5:30am on 11/22/13, a “6’ tall black male, in his 20-30’s with shoulder length long braids (pulled back), who was around 225 pounds” broke into the trailer located at 69 Hickory Nut Ct. </w:t>
      </w:r>
    </w:p>
    <w:p w14:paraId="425EBAB6" w14:textId="77777777" w:rsidR="005B3BC9" w:rsidRDefault="005B3BC9" w:rsidP="005B3BC9">
      <w:pPr>
        <w:pStyle w:val="ListParagraph"/>
        <w:jc w:val="both"/>
        <w:rPr>
          <w:sz w:val="28"/>
          <w:szCs w:val="28"/>
        </w:rPr>
      </w:pPr>
    </w:p>
    <w:p w14:paraId="3DEBA2DE" w14:textId="656E1965" w:rsidR="005B3BC9" w:rsidRPr="00674B72" w:rsidRDefault="005B3BC9" w:rsidP="00674B72">
      <w:pPr>
        <w:pStyle w:val="ListParagraph"/>
        <w:numPr>
          <w:ilvl w:val="0"/>
          <w:numId w:val="1"/>
        </w:numPr>
        <w:jc w:val="both"/>
        <w:rPr>
          <w:sz w:val="28"/>
          <w:szCs w:val="28"/>
        </w:rPr>
      </w:pPr>
      <w:r>
        <w:rPr>
          <w:sz w:val="28"/>
          <w:szCs w:val="28"/>
        </w:rPr>
        <w:t xml:space="preserve">The man </w:t>
      </w:r>
      <w:r w:rsidR="00C2097F">
        <w:rPr>
          <w:sz w:val="28"/>
          <w:szCs w:val="28"/>
        </w:rPr>
        <w:t>said,</w:t>
      </w:r>
      <w:r>
        <w:rPr>
          <w:sz w:val="28"/>
          <w:szCs w:val="28"/>
        </w:rPr>
        <w:t xml:space="preserve"> “Sheriff’s Department, get on the ground.” The man was wearing a sweatshirt that said, “Sheriff’s Department” and was holding a rifle. The man order Marjorie and Mr. Giles to get on the ground, and when Mr. Giles moved towards him the man shot Mr. Giles. The man shot Mr. Giles. The man then asked where “the money” was, and Mrs. Giles showed him the money. The man then told Mrs. Giles to lay down and he zip tied her feet together. Mr. Giles died from his injuries. </w:t>
      </w:r>
    </w:p>
    <w:p w14:paraId="13D3F664" w14:textId="77777777" w:rsidR="005B3BC9" w:rsidRPr="00826827" w:rsidRDefault="005B3BC9" w:rsidP="005B3BC9">
      <w:pPr>
        <w:pStyle w:val="ListParagraph"/>
        <w:rPr>
          <w:sz w:val="28"/>
          <w:szCs w:val="28"/>
        </w:rPr>
      </w:pPr>
    </w:p>
    <w:p w14:paraId="45A028B4" w14:textId="77777777" w:rsidR="005B3BC9" w:rsidRPr="00826827" w:rsidRDefault="005B3BC9" w:rsidP="005B3BC9">
      <w:pPr>
        <w:pStyle w:val="ListParagraph"/>
        <w:numPr>
          <w:ilvl w:val="0"/>
          <w:numId w:val="1"/>
        </w:numPr>
        <w:jc w:val="both"/>
        <w:rPr>
          <w:sz w:val="28"/>
          <w:szCs w:val="28"/>
        </w:rPr>
      </w:pPr>
      <w:r>
        <w:rPr>
          <w:sz w:val="28"/>
          <w:szCs w:val="28"/>
        </w:rPr>
        <w:t xml:space="preserve">The Giles’ called 911 at 5:48am. </w:t>
      </w:r>
    </w:p>
    <w:p w14:paraId="2C465B15" w14:textId="77777777" w:rsidR="005B3BC9" w:rsidRDefault="005B3BC9" w:rsidP="005B3BC9">
      <w:pPr>
        <w:pStyle w:val="ListParagraph"/>
        <w:jc w:val="both"/>
        <w:rPr>
          <w:sz w:val="28"/>
          <w:szCs w:val="28"/>
        </w:rPr>
      </w:pPr>
    </w:p>
    <w:p w14:paraId="2220F85E" w14:textId="77777777" w:rsidR="005B3BC9" w:rsidRPr="003454CD" w:rsidRDefault="005B3BC9" w:rsidP="005B3BC9">
      <w:pPr>
        <w:pStyle w:val="ListParagraph"/>
        <w:numPr>
          <w:ilvl w:val="0"/>
          <w:numId w:val="1"/>
        </w:numPr>
        <w:jc w:val="both"/>
        <w:rPr>
          <w:sz w:val="28"/>
          <w:szCs w:val="28"/>
        </w:rPr>
      </w:pPr>
      <w:r w:rsidRPr="003454CD">
        <w:rPr>
          <w:sz w:val="28"/>
          <w:szCs w:val="28"/>
        </w:rPr>
        <w:lastRenderedPageBreak/>
        <w:t xml:space="preserve">Officers from the Lee County Sheriff’s Department (LCSO) responded to the scene. They took statements from Mrs. Giles and her two teenaged children, who had also been present. </w:t>
      </w:r>
    </w:p>
    <w:p w14:paraId="65E4E96A" w14:textId="77777777" w:rsidR="005B3BC9" w:rsidRPr="003454CD" w:rsidRDefault="005B3BC9" w:rsidP="005B3BC9">
      <w:pPr>
        <w:pStyle w:val="ListParagraph"/>
        <w:jc w:val="both"/>
        <w:rPr>
          <w:sz w:val="28"/>
          <w:szCs w:val="28"/>
        </w:rPr>
      </w:pPr>
    </w:p>
    <w:p w14:paraId="19DB7B59" w14:textId="77777777" w:rsidR="005B3BC9" w:rsidRDefault="005B3BC9" w:rsidP="005B3BC9">
      <w:pPr>
        <w:pStyle w:val="ListParagraph"/>
        <w:numPr>
          <w:ilvl w:val="0"/>
          <w:numId w:val="1"/>
        </w:numPr>
        <w:jc w:val="both"/>
        <w:rPr>
          <w:sz w:val="28"/>
          <w:szCs w:val="28"/>
        </w:rPr>
      </w:pPr>
      <w:r w:rsidRPr="00826827">
        <w:rPr>
          <w:sz w:val="28"/>
          <w:szCs w:val="28"/>
        </w:rPr>
        <w:t xml:space="preserve">Mrs. Giles reported that while the man was in the home, he spoke to someone on a cell phone. </w:t>
      </w:r>
    </w:p>
    <w:p w14:paraId="1417D821" w14:textId="77777777" w:rsidR="005B3BC9" w:rsidRDefault="005B3BC9" w:rsidP="005B3BC9">
      <w:pPr>
        <w:pStyle w:val="ListParagraph"/>
        <w:jc w:val="both"/>
        <w:rPr>
          <w:sz w:val="28"/>
          <w:szCs w:val="28"/>
        </w:rPr>
      </w:pPr>
    </w:p>
    <w:p w14:paraId="71CB38CF" w14:textId="77777777" w:rsidR="005B3BC9" w:rsidRDefault="005B3BC9" w:rsidP="005B3BC9">
      <w:pPr>
        <w:pStyle w:val="ListParagraph"/>
        <w:numPr>
          <w:ilvl w:val="0"/>
          <w:numId w:val="1"/>
        </w:numPr>
        <w:jc w:val="both"/>
        <w:rPr>
          <w:sz w:val="28"/>
          <w:szCs w:val="28"/>
        </w:rPr>
      </w:pPr>
      <w:r>
        <w:rPr>
          <w:sz w:val="28"/>
          <w:szCs w:val="28"/>
        </w:rPr>
        <w:t xml:space="preserve">Detective Shawn Ellerby led the ensuing investigation. </w:t>
      </w:r>
    </w:p>
    <w:p w14:paraId="1C4F60B3" w14:textId="77777777" w:rsidR="005B3BC9" w:rsidRPr="00AA0429" w:rsidRDefault="005B3BC9" w:rsidP="005B3BC9">
      <w:pPr>
        <w:pStyle w:val="ListParagraph"/>
        <w:rPr>
          <w:sz w:val="28"/>
          <w:szCs w:val="28"/>
        </w:rPr>
      </w:pPr>
    </w:p>
    <w:p w14:paraId="2C3D847A" w14:textId="77777777" w:rsidR="005B3BC9" w:rsidRDefault="005B3BC9" w:rsidP="005B3BC9">
      <w:pPr>
        <w:pStyle w:val="ListParagraph"/>
        <w:numPr>
          <w:ilvl w:val="0"/>
          <w:numId w:val="1"/>
        </w:numPr>
        <w:jc w:val="both"/>
        <w:rPr>
          <w:sz w:val="28"/>
          <w:szCs w:val="28"/>
        </w:rPr>
      </w:pPr>
      <w:r>
        <w:rPr>
          <w:sz w:val="28"/>
          <w:szCs w:val="28"/>
        </w:rPr>
        <w:t>On 22 November 2013, Detective Ellerby obtained an order compelling “any and all electronic communications providers” to provide “any and all transactional records pertaining to cellular telephone calls, SMS texts, evolution data optimized (EVDO) information, per call measurement data (PCMD) and direct connect information, received by or transmitted from cellular towers… that may provide service to the area in and around 69 Hickory Nut Court, Sanford, N.C.”</w:t>
      </w:r>
    </w:p>
    <w:p w14:paraId="4F1000CE" w14:textId="77777777" w:rsidR="005B3BC9" w:rsidRDefault="005B3BC9" w:rsidP="005B3BC9">
      <w:pPr>
        <w:pStyle w:val="ListParagraph"/>
        <w:jc w:val="both"/>
        <w:rPr>
          <w:sz w:val="28"/>
          <w:szCs w:val="28"/>
        </w:rPr>
      </w:pPr>
    </w:p>
    <w:p w14:paraId="33FBB96D" w14:textId="77777777" w:rsidR="005B3BC9" w:rsidRDefault="005B3BC9" w:rsidP="005B3BC9">
      <w:pPr>
        <w:pStyle w:val="ListParagraph"/>
        <w:numPr>
          <w:ilvl w:val="0"/>
          <w:numId w:val="1"/>
        </w:numPr>
        <w:jc w:val="both"/>
        <w:rPr>
          <w:sz w:val="28"/>
          <w:szCs w:val="28"/>
        </w:rPr>
      </w:pPr>
      <w:r>
        <w:rPr>
          <w:sz w:val="28"/>
          <w:szCs w:val="28"/>
        </w:rPr>
        <w:t xml:space="preserve">The time frame covered by this order was from 5:00pm to 6:00am on 22 November 2013. </w:t>
      </w:r>
    </w:p>
    <w:p w14:paraId="5B05553A" w14:textId="77777777" w:rsidR="005B3BC9" w:rsidRPr="00AA0429" w:rsidRDefault="005B3BC9" w:rsidP="005B3BC9">
      <w:pPr>
        <w:pStyle w:val="ListParagraph"/>
        <w:rPr>
          <w:sz w:val="28"/>
          <w:szCs w:val="28"/>
        </w:rPr>
      </w:pPr>
    </w:p>
    <w:p w14:paraId="76A3689C" w14:textId="3FC18312" w:rsidR="005B3BC9" w:rsidRDefault="005B3BC9" w:rsidP="005B3BC9">
      <w:pPr>
        <w:pStyle w:val="ListParagraph"/>
        <w:numPr>
          <w:ilvl w:val="0"/>
          <w:numId w:val="1"/>
        </w:numPr>
        <w:jc w:val="both"/>
        <w:rPr>
          <w:sz w:val="28"/>
          <w:szCs w:val="28"/>
        </w:rPr>
      </w:pPr>
      <w:r>
        <w:rPr>
          <w:sz w:val="28"/>
          <w:szCs w:val="28"/>
        </w:rPr>
        <w:t xml:space="preserve">On 26 November 2013, Detective Ellerby notified U.S. </w:t>
      </w:r>
      <w:r w:rsidR="00C2097F">
        <w:rPr>
          <w:sz w:val="28"/>
          <w:szCs w:val="28"/>
        </w:rPr>
        <w:t>Cellular</w:t>
      </w:r>
      <w:r>
        <w:rPr>
          <w:sz w:val="28"/>
          <w:szCs w:val="28"/>
        </w:rPr>
        <w:t xml:space="preserve">, one of the carriers who had a tower servicing the location of the crime scene, that the order was incorrect and he was seeking records from 5:00am through 6:00am on 22 November 2013. </w:t>
      </w:r>
    </w:p>
    <w:p w14:paraId="75F12101" w14:textId="77777777" w:rsidR="005B3BC9" w:rsidRPr="00AA0429" w:rsidRDefault="005B3BC9" w:rsidP="005B3BC9">
      <w:pPr>
        <w:pStyle w:val="ListParagraph"/>
        <w:rPr>
          <w:sz w:val="28"/>
          <w:szCs w:val="28"/>
        </w:rPr>
      </w:pPr>
    </w:p>
    <w:p w14:paraId="3E8C18C7" w14:textId="77777777" w:rsidR="005B3BC9" w:rsidRDefault="005B3BC9" w:rsidP="005B3BC9">
      <w:pPr>
        <w:pStyle w:val="ListParagraph"/>
        <w:numPr>
          <w:ilvl w:val="0"/>
          <w:numId w:val="1"/>
        </w:numPr>
        <w:jc w:val="both"/>
        <w:rPr>
          <w:sz w:val="28"/>
          <w:szCs w:val="28"/>
        </w:rPr>
      </w:pPr>
      <w:r>
        <w:rPr>
          <w:sz w:val="28"/>
          <w:szCs w:val="28"/>
        </w:rPr>
        <w:t xml:space="preserve">On 5 December 2013, Detective Ellerby obtained a corrected order with identical language but modifying the timeframe to 5:00am through 6:00am on 22 November 2013. </w:t>
      </w:r>
    </w:p>
    <w:p w14:paraId="1F9F560C" w14:textId="77777777" w:rsidR="005B3BC9" w:rsidRPr="00C67ACA" w:rsidRDefault="005B3BC9" w:rsidP="005B3BC9">
      <w:pPr>
        <w:pStyle w:val="ListParagraph"/>
        <w:rPr>
          <w:sz w:val="28"/>
          <w:szCs w:val="28"/>
        </w:rPr>
      </w:pPr>
    </w:p>
    <w:p w14:paraId="31415D42" w14:textId="33A36FF7" w:rsidR="007F5431" w:rsidRDefault="007F5431" w:rsidP="007F5431">
      <w:pPr>
        <w:pStyle w:val="ListParagraph"/>
        <w:numPr>
          <w:ilvl w:val="0"/>
          <w:numId w:val="1"/>
        </w:numPr>
        <w:jc w:val="both"/>
        <w:rPr>
          <w:sz w:val="28"/>
          <w:szCs w:val="28"/>
        </w:rPr>
      </w:pPr>
      <w:r>
        <w:rPr>
          <w:sz w:val="28"/>
          <w:szCs w:val="28"/>
        </w:rPr>
        <w:t>A total of 9 cell phone towers from 5 different providers ultimately provided records pursuant to the order. These records are commonly referred to as “tower dump records.”</w:t>
      </w:r>
    </w:p>
    <w:p w14:paraId="200B190B" w14:textId="77777777" w:rsidR="007F5431" w:rsidRPr="000812A7" w:rsidRDefault="007F5431" w:rsidP="000812A7">
      <w:pPr>
        <w:jc w:val="both"/>
        <w:rPr>
          <w:sz w:val="28"/>
          <w:szCs w:val="28"/>
        </w:rPr>
      </w:pPr>
    </w:p>
    <w:p w14:paraId="3EB4D656" w14:textId="77777777" w:rsidR="005B3BC9" w:rsidRDefault="005B3BC9" w:rsidP="005B3BC9">
      <w:pPr>
        <w:pStyle w:val="ListParagraph"/>
        <w:numPr>
          <w:ilvl w:val="0"/>
          <w:numId w:val="1"/>
        </w:numPr>
        <w:jc w:val="both"/>
        <w:rPr>
          <w:sz w:val="28"/>
          <w:szCs w:val="28"/>
        </w:rPr>
      </w:pPr>
      <w:r>
        <w:rPr>
          <w:sz w:val="28"/>
          <w:szCs w:val="28"/>
        </w:rPr>
        <w:t xml:space="preserve">Of the five carriers who provided records, one appeared to attempt to respond to the initial time frame. US Cellular provided tower dump records from 12:00:01am on 22 November 2013 through 11:59:59pm on 22 November 2013. Therefore, instead of the 22 call records that would have been responsive to the intended timeframe, 5,764 call records were provided. </w:t>
      </w:r>
    </w:p>
    <w:p w14:paraId="2E7FDA25" w14:textId="56AEFDC3" w:rsidR="005B3BC9" w:rsidRPr="00674B72" w:rsidRDefault="005B3BC9" w:rsidP="00674B72">
      <w:pPr>
        <w:rPr>
          <w:sz w:val="28"/>
          <w:szCs w:val="28"/>
        </w:rPr>
      </w:pPr>
    </w:p>
    <w:p w14:paraId="79E09315" w14:textId="77777777" w:rsidR="005B3BC9" w:rsidRDefault="005B3BC9" w:rsidP="005B3BC9">
      <w:pPr>
        <w:pStyle w:val="ListParagraph"/>
        <w:numPr>
          <w:ilvl w:val="0"/>
          <w:numId w:val="1"/>
        </w:numPr>
        <w:jc w:val="both"/>
        <w:rPr>
          <w:sz w:val="28"/>
          <w:szCs w:val="28"/>
        </w:rPr>
      </w:pPr>
      <w:r>
        <w:rPr>
          <w:sz w:val="28"/>
          <w:szCs w:val="28"/>
        </w:rPr>
        <w:t xml:space="preserve">Copies of both orders are attached to this motion. </w:t>
      </w:r>
    </w:p>
    <w:p w14:paraId="37777E12" w14:textId="77777777" w:rsidR="005B3BC9" w:rsidRDefault="005B3BC9" w:rsidP="005B3BC9">
      <w:pPr>
        <w:pStyle w:val="ListParagraph"/>
        <w:jc w:val="both"/>
        <w:rPr>
          <w:sz w:val="28"/>
          <w:szCs w:val="28"/>
        </w:rPr>
      </w:pPr>
    </w:p>
    <w:p w14:paraId="056CA466" w14:textId="77777777" w:rsidR="005B3BC9" w:rsidRPr="00826827" w:rsidRDefault="005B3BC9" w:rsidP="005B3BC9">
      <w:pPr>
        <w:pStyle w:val="ListParagraph"/>
        <w:rPr>
          <w:sz w:val="28"/>
          <w:szCs w:val="28"/>
        </w:rPr>
      </w:pPr>
    </w:p>
    <w:p w14:paraId="33EB7FBF" w14:textId="77777777" w:rsidR="005B3BC9" w:rsidRDefault="005B3BC9" w:rsidP="005B3BC9">
      <w:pPr>
        <w:pStyle w:val="ListParagraph"/>
        <w:numPr>
          <w:ilvl w:val="0"/>
          <w:numId w:val="1"/>
        </w:numPr>
        <w:jc w:val="both"/>
        <w:rPr>
          <w:sz w:val="28"/>
          <w:szCs w:val="28"/>
        </w:rPr>
      </w:pPr>
      <w:r>
        <w:rPr>
          <w:sz w:val="28"/>
          <w:szCs w:val="28"/>
        </w:rPr>
        <w:t xml:space="preserve">In discovery, police associated several numbers found on these tower dump records with people of interest in this case. Phone numbers associated with two of the original co-defendants appeared in the tower dump records. A number associated with current co-defendant Harley Chavis and a number associated with current co-defendant Derek Strickland were found in the tower dump records. </w:t>
      </w:r>
    </w:p>
    <w:p w14:paraId="6C90A00B" w14:textId="77777777" w:rsidR="005B3BC9" w:rsidRPr="00B45A3A" w:rsidRDefault="005B3BC9" w:rsidP="005B3BC9">
      <w:pPr>
        <w:pStyle w:val="ListParagraph"/>
        <w:rPr>
          <w:sz w:val="28"/>
          <w:szCs w:val="28"/>
        </w:rPr>
      </w:pPr>
    </w:p>
    <w:p w14:paraId="0358C827" w14:textId="327472E8" w:rsidR="005B3BC9" w:rsidRDefault="005B3BC9" w:rsidP="005B3BC9">
      <w:pPr>
        <w:pStyle w:val="ListParagraph"/>
        <w:numPr>
          <w:ilvl w:val="0"/>
          <w:numId w:val="1"/>
        </w:numPr>
        <w:jc w:val="both"/>
        <w:rPr>
          <w:sz w:val="28"/>
          <w:szCs w:val="28"/>
        </w:rPr>
      </w:pPr>
      <w:r>
        <w:rPr>
          <w:sz w:val="28"/>
          <w:szCs w:val="28"/>
        </w:rPr>
        <w:t>There was also a phone number, 919-</w:t>
      </w:r>
      <w:r w:rsidR="00AA13BD" w:rsidRPr="00AA13BD">
        <w:rPr>
          <w:sz w:val="28"/>
          <w:szCs w:val="28"/>
        </w:rPr>
        <w:t xml:space="preserve"> </w:t>
      </w:r>
      <w:r w:rsidR="00AA13BD">
        <w:rPr>
          <w:sz w:val="28"/>
          <w:szCs w:val="28"/>
        </w:rPr>
        <w:t>XXX-XXXX</w:t>
      </w:r>
      <w:r>
        <w:rPr>
          <w:sz w:val="28"/>
          <w:szCs w:val="28"/>
        </w:rPr>
        <w:t xml:space="preserve">, that was registered to a Johnathan Oakley. Johnathan Oakley was a friend of Chavis, Mintz, and Strickland. He was also Mr. Sanders’ neighbor at one point in time. </w:t>
      </w:r>
    </w:p>
    <w:p w14:paraId="000320EA" w14:textId="77777777" w:rsidR="005B3BC9" w:rsidRPr="00B45A3A" w:rsidRDefault="005B3BC9" w:rsidP="005B3BC9">
      <w:pPr>
        <w:pStyle w:val="ListParagraph"/>
        <w:rPr>
          <w:sz w:val="28"/>
          <w:szCs w:val="28"/>
        </w:rPr>
      </w:pPr>
    </w:p>
    <w:p w14:paraId="131272F3" w14:textId="748790E3" w:rsidR="005B3BC9" w:rsidRDefault="005B3BC9" w:rsidP="005B3BC9">
      <w:pPr>
        <w:pStyle w:val="ListParagraph"/>
        <w:numPr>
          <w:ilvl w:val="0"/>
          <w:numId w:val="1"/>
        </w:numPr>
        <w:jc w:val="both"/>
        <w:rPr>
          <w:sz w:val="28"/>
          <w:szCs w:val="28"/>
        </w:rPr>
      </w:pPr>
      <w:r>
        <w:rPr>
          <w:sz w:val="28"/>
          <w:szCs w:val="28"/>
        </w:rPr>
        <w:t>919-</w:t>
      </w:r>
      <w:r w:rsidR="00AA13BD" w:rsidRPr="00AA13BD">
        <w:rPr>
          <w:sz w:val="28"/>
          <w:szCs w:val="28"/>
        </w:rPr>
        <w:t xml:space="preserve"> </w:t>
      </w:r>
      <w:r w:rsidR="00AA13BD">
        <w:rPr>
          <w:sz w:val="28"/>
          <w:szCs w:val="28"/>
        </w:rPr>
        <w:t>XXX-XXXX</w:t>
      </w:r>
      <w:r w:rsidR="00AA13BD">
        <w:rPr>
          <w:sz w:val="28"/>
          <w:szCs w:val="28"/>
        </w:rPr>
        <w:t xml:space="preserve"> </w:t>
      </w:r>
      <w:r>
        <w:rPr>
          <w:sz w:val="28"/>
          <w:szCs w:val="28"/>
        </w:rPr>
        <w:t xml:space="preserve">appears on 2 of the tower dumps as receiving several calls between 5:42am and 5:55am. </w:t>
      </w:r>
    </w:p>
    <w:p w14:paraId="45D081C3" w14:textId="77777777" w:rsidR="005B3BC9" w:rsidRPr="00B45A3A" w:rsidRDefault="005B3BC9" w:rsidP="005B3BC9">
      <w:pPr>
        <w:pStyle w:val="ListParagraph"/>
        <w:rPr>
          <w:sz w:val="28"/>
          <w:szCs w:val="28"/>
        </w:rPr>
      </w:pPr>
    </w:p>
    <w:p w14:paraId="628563EA" w14:textId="4114B8FF" w:rsidR="005B3BC9" w:rsidRDefault="005B3BC9" w:rsidP="005B3BC9">
      <w:pPr>
        <w:pStyle w:val="ListParagraph"/>
        <w:numPr>
          <w:ilvl w:val="0"/>
          <w:numId w:val="1"/>
        </w:numPr>
        <w:jc w:val="both"/>
        <w:rPr>
          <w:sz w:val="28"/>
          <w:szCs w:val="28"/>
        </w:rPr>
      </w:pPr>
      <w:r>
        <w:rPr>
          <w:sz w:val="28"/>
          <w:szCs w:val="28"/>
        </w:rPr>
        <w:t>On 29 August 2018, the State provided discovery that Johnathan Oakley had given another interview on 21 August 2018. In that interview, he stated that 919-</w:t>
      </w:r>
      <w:r w:rsidR="00AA13BD" w:rsidRPr="00AA13BD">
        <w:rPr>
          <w:sz w:val="28"/>
          <w:szCs w:val="28"/>
        </w:rPr>
        <w:t xml:space="preserve"> </w:t>
      </w:r>
      <w:r w:rsidR="00AA13BD">
        <w:rPr>
          <w:sz w:val="28"/>
          <w:szCs w:val="28"/>
        </w:rPr>
        <w:t>XXX-XXXX</w:t>
      </w:r>
      <w:r w:rsidR="00AA13BD">
        <w:rPr>
          <w:sz w:val="28"/>
          <w:szCs w:val="28"/>
        </w:rPr>
        <w:t xml:space="preserve"> </w:t>
      </w:r>
      <w:r>
        <w:rPr>
          <w:sz w:val="28"/>
          <w:szCs w:val="28"/>
        </w:rPr>
        <w:t xml:space="preserve">belonged to Mr. Sanders and Mr. Oakley added the number to his phone plan. </w:t>
      </w:r>
    </w:p>
    <w:p w14:paraId="3256EB37" w14:textId="77777777" w:rsidR="005B3BC9" w:rsidRPr="005B3BC9" w:rsidRDefault="005B3BC9" w:rsidP="005B3BC9">
      <w:pPr>
        <w:pStyle w:val="ListParagraph"/>
        <w:rPr>
          <w:sz w:val="28"/>
          <w:szCs w:val="28"/>
        </w:rPr>
      </w:pPr>
    </w:p>
    <w:p w14:paraId="04AEEB4F" w14:textId="1C62BA14" w:rsidR="00A11DF8" w:rsidRDefault="005B3BC9" w:rsidP="005B3BC9">
      <w:pPr>
        <w:pStyle w:val="ListParagraph"/>
        <w:numPr>
          <w:ilvl w:val="0"/>
          <w:numId w:val="1"/>
        </w:numPr>
        <w:jc w:val="both"/>
        <w:rPr>
          <w:sz w:val="28"/>
          <w:szCs w:val="28"/>
        </w:rPr>
      </w:pPr>
      <w:r w:rsidRPr="005B3BC9">
        <w:rPr>
          <w:sz w:val="28"/>
          <w:szCs w:val="28"/>
        </w:rPr>
        <w:t>This is the only notation in discovery that 919-</w:t>
      </w:r>
      <w:r w:rsidR="00AA13BD" w:rsidRPr="00AA13BD">
        <w:rPr>
          <w:sz w:val="28"/>
          <w:szCs w:val="28"/>
        </w:rPr>
        <w:t xml:space="preserve"> </w:t>
      </w:r>
      <w:r w:rsidR="00AA13BD">
        <w:rPr>
          <w:sz w:val="28"/>
          <w:szCs w:val="28"/>
        </w:rPr>
        <w:t>XXX-XXXX</w:t>
      </w:r>
      <w:r w:rsidR="00AA13BD">
        <w:rPr>
          <w:sz w:val="28"/>
          <w:szCs w:val="28"/>
        </w:rPr>
        <w:t xml:space="preserve"> </w:t>
      </w:r>
      <w:r w:rsidRPr="005B3BC9">
        <w:rPr>
          <w:sz w:val="28"/>
          <w:szCs w:val="28"/>
        </w:rPr>
        <w:t>was Mr. Sanders’ cell phone number.</w:t>
      </w:r>
    </w:p>
    <w:p w14:paraId="3E801086" w14:textId="77777777" w:rsidR="00674B72" w:rsidRPr="00674B72" w:rsidRDefault="00674B72" w:rsidP="00674B72">
      <w:pPr>
        <w:pStyle w:val="ListParagraph"/>
        <w:rPr>
          <w:sz w:val="28"/>
          <w:szCs w:val="28"/>
        </w:rPr>
      </w:pPr>
    </w:p>
    <w:p w14:paraId="3B7CD18E" w14:textId="77777777" w:rsidR="00674B72" w:rsidRPr="005B3BC9" w:rsidRDefault="00674B72" w:rsidP="00674B72">
      <w:pPr>
        <w:pStyle w:val="ListParagraph"/>
        <w:jc w:val="both"/>
        <w:rPr>
          <w:sz w:val="28"/>
          <w:szCs w:val="28"/>
        </w:rPr>
      </w:pPr>
    </w:p>
    <w:p w14:paraId="4ABF0C47" w14:textId="77777777" w:rsidR="009B3896" w:rsidRPr="009B3896" w:rsidRDefault="009B3896" w:rsidP="009B3896">
      <w:pPr>
        <w:spacing w:line="256" w:lineRule="auto"/>
        <w:rPr>
          <w:rFonts w:eastAsia="Calibri"/>
          <w:sz w:val="28"/>
          <w:szCs w:val="28"/>
        </w:rPr>
      </w:pPr>
      <w:r w:rsidRPr="009B3896">
        <w:rPr>
          <w:rFonts w:eastAsia="Calibri"/>
          <w:b/>
          <w:bCs/>
          <w:sz w:val="28"/>
          <w:szCs w:val="28"/>
        </w:rPr>
        <w:t>FURTHER AFFIANT SAYETH NAUGHT.</w:t>
      </w:r>
      <w:r w:rsidRPr="009B3896">
        <w:rPr>
          <w:rFonts w:eastAsia="Calibri"/>
          <w:sz w:val="28"/>
          <w:szCs w:val="28"/>
        </w:rPr>
        <w:t xml:space="preserve"> </w:t>
      </w:r>
    </w:p>
    <w:p w14:paraId="1E46EF4A" w14:textId="77777777" w:rsidR="009B3896" w:rsidRPr="009B3896" w:rsidRDefault="009B3896" w:rsidP="009B3896">
      <w:pPr>
        <w:spacing w:line="256" w:lineRule="auto"/>
        <w:rPr>
          <w:rFonts w:eastAsia="Calibri"/>
          <w:sz w:val="28"/>
          <w:szCs w:val="28"/>
        </w:rPr>
      </w:pPr>
    </w:p>
    <w:p w14:paraId="2256A826" w14:textId="77777777" w:rsidR="009B3896" w:rsidRPr="009B3896" w:rsidRDefault="009B3896" w:rsidP="009B3896">
      <w:pPr>
        <w:rPr>
          <w:rFonts w:eastAsia="Calibri"/>
          <w:sz w:val="28"/>
          <w:szCs w:val="28"/>
        </w:rPr>
      </w:pPr>
      <w:r w:rsidRPr="009B3896">
        <w:rPr>
          <w:rFonts w:eastAsia="Calibri"/>
          <w:sz w:val="28"/>
          <w:szCs w:val="28"/>
        </w:rPr>
        <w:t xml:space="preserve">__________________________ </w:t>
      </w:r>
    </w:p>
    <w:p w14:paraId="717D9178" w14:textId="77777777" w:rsidR="009B3896" w:rsidRPr="009B3896" w:rsidRDefault="009B3896" w:rsidP="009B3896">
      <w:pPr>
        <w:rPr>
          <w:rFonts w:eastAsia="Calibri"/>
          <w:sz w:val="28"/>
          <w:szCs w:val="28"/>
        </w:rPr>
      </w:pPr>
      <w:r w:rsidRPr="009B3896">
        <w:rPr>
          <w:rFonts w:eastAsia="Calibri"/>
          <w:sz w:val="28"/>
          <w:szCs w:val="28"/>
        </w:rPr>
        <w:t>Kellie Mannette</w:t>
      </w:r>
    </w:p>
    <w:p w14:paraId="0A8F4BAD" w14:textId="77777777" w:rsidR="009B3896" w:rsidRPr="009B3896" w:rsidRDefault="009B3896" w:rsidP="009B3896">
      <w:pPr>
        <w:spacing w:line="256" w:lineRule="auto"/>
        <w:rPr>
          <w:rFonts w:eastAsia="Calibri"/>
          <w:sz w:val="28"/>
          <w:szCs w:val="28"/>
        </w:rPr>
      </w:pPr>
    </w:p>
    <w:p w14:paraId="3656CFE4" w14:textId="77777777" w:rsidR="009B3896" w:rsidRPr="009B3896" w:rsidRDefault="009B3896" w:rsidP="009B3896">
      <w:pPr>
        <w:spacing w:line="256" w:lineRule="auto"/>
        <w:rPr>
          <w:rFonts w:eastAsia="Calibri"/>
          <w:sz w:val="28"/>
          <w:szCs w:val="28"/>
        </w:rPr>
      </w:pPr>
    </w:p>
    <w:p w14:paraId="3B721F77" w14:textId="07DC6D3C" w:rsidR="009B3896" w:rsidRPr="009B3896" w:rsidRDefault="009B3896" w:rsidP="009B3896">
      <w:pPr>
        <w:spacing w:line="256" w:lineRule="auto"/>
        <w:rPr>
          <w:rFonts w:eastAsia="Calibri"/>
          <w:sz w:val="28"/>
          <w:szCs w:val="28"/>
        </w:rPr>
      </w:pPr>
      <w:r w:rsidRPr="009B3896">
        <w:rPr>
          <w:rFonts w:eastAsia="Calibri"/>
          <w:sz w:val="28"/>
          <w:szCs w:val="28"/>
        </w:rPr>
        <w:t>Sworn and subscribed to before me this the ____ day of _______________, 201</w:t>
      </w:r>
      <w:r>
        <w:rPr>
          <w:rFonts w:eastAsia="Calibri"/>
          <w:sz w:val="28"/>
          <w:szCs w:val="28"/>
        </w:rPr>
        <w:t>8</w:t>
      </w:r>
      <w:r w:rsidRPr="009B3896">
        <w:rPr>
          <w:rFonts w:eastAsia="Calibri"/>
          <w:sz w:val="28"/>
          <w:szCs w:val="28"/>
        </w:rPr>
        <w:t>.</w:t>
      </w:r>
    </w:p>
    <w:p w14:paraId="242DF691" w14:textId="77777777" w:rsidR="009B3896" w:rsidRPr="009B3896" w:rsidRDefault="009B3896" w:rsidP="009B3896">
      <w:pPr>
        <w:spacing w:line="256" w:lineRule="auto"/>
        <w:rPr>
          <w:rFonts w:eastAsia="Calibri"/>
          <w:sz w:val="28"/>
          <w:szCs w:val="28"/>
        </w:rPr>
      </w:pPr>
    </w:p>
    <w:p w14:paraId="1258E674" w14:textId="77777777" w:rsidR="009B3896" w:rsidRPr="009B3896" w:rsidRDefault="009B3896" w:rsidP="009B3896">
      <w:pPr>
        <w:spacing w:line="256" w:lineRule="auto"/>
        <w:rPr>
          <w:rFonts w:eastAsia="Calibri"/>
          <w:sz w:val="28"/>
          <w:szCs w:val="28"/>
        </w:rPr>
      </w:pPr>
      <w:r w:rsidRPr="009B3896">
        <w:rPr>
          <w:rFonts w:eastAsia="Calibri"/>
          <w:sz w:val="28"/>
          <w:szCs w:val="28"/>
        </w:rPr>
        <w:t xml:space="preserve">Notary Public: ________________________________ </w:t>
      </w:r>
    </w:p>
    <w:p w14:paraId="778DB872" w14:textId="77777777" w:rsidR="009B3896" w:rsidRPr="009B3896" w:rsidRDefault="009B3896" w:rsidP="009B3896">
      <w:pPr>
        <w:spacing w:line="256" w:lineRule="auto"/>
        <w:rPr>
          <w:rFonts w:eastAsia="Calibri"/>
          <w:sz w:val="28"/>
          <w:szCs w:val="28"/>
        </w:rPr>
      </w:pPr>
    </w:p>
    <w:p w14:paraId="12E9D21F" w14:textId="77777777" w:rsidR="009B3896" w:rsidRPr="009B3896" w:rsidRDefault="009B3896" w:rsidP="009B3896">
      <w:pPr>
        <w:spacing w:line="256" w:lineRule="auto"/>
        <w:rPr>
          <w:rFonts w:eastAsia="Calibri"/>
          <w:sz w:val="28"/>
          <w:szCs w:val="28"/>
        </w:rPr>
      </w:pPr>
      <w:r w:rsidRPr="009B3896">
        <w:rPr>
          <w:rFonts w:eastAsia="Calibri"/>
          <w:sz w:val="28"/>
          <w:szCs w:val="28"/>
        </w:rPr>
        <w:t xml:space="preserve">My commission expires: __________________ </w:t>
      </w:r>
    </w:p>
    <w:p w14:paraId="36A5C785" w14:textId="507077E8" w:rsidR="00724860" w:rsidRPr="009B3896" w:rsidRDefault="00724860" w:rsidP="009B3896">
      <w:pPr>
        <w:jc w:val="both"/>
        <w:rPr>
          <w:sz w:val="28"/>
          <w:szCs w:val="28"/>
          <w:u w:val="single"/>
        </w:rPr>
      </w:pPr>
      <w:r w:rsidRPr="009B3896">
        <w:rPr>
          <w:sz w:val="28"/>
          <w:szCs w:val="28"/>
          <w:u w:val="single"/>
        </w:rPr>
        <w:br w:type="page"/>
      </w:r>
    </w:p>
    <w:p w14:paraId="10E41B2D" w14:textId="77777777" w:rsidR="00724860" w:rsidRPr="00724860" w:rsidRDefault="00724860" w:rsidP="00724860">
      <w:pPr>
        <w:jc w:val="center"/>
        <w:rPr>
          <w:sz w:val="28"/>
          <w:szCs w:val="28"/>
          <w:u w:val="single"/>
        </w:rPr>
      </w:pPr>
      <w:r w:rsidRPr="00724860">
        <w:rPr>
          <w:sz w:val="28"/>
          <w:szCs w:val="28"/>
          <w:u w:val="single"/>
        </w:rPr>
        <w:lastRenderedPageBreak/>
        <w:t>CERTIFICATE OF SERVICE</w:t>
      </w:r>
    </w:p>
    <w:p w14:paraId="19F3495E" w14:textId="77777777" w:rsidR="00724860" w:rsidRPr="00724860" w:rsidRDefault="00724860" w:rsidP="00724860">
      <w:pPr>
        <w:jc w:val="center"/>
        <w:rPr>
          <w:sz w:val="28"/>
          <w:szCs w:val="28"/>
          <w:u w:val="single"/>
        </w:rPr>
      </w:pPr>
    </w:p>
    <w:p w14:paraId="25526195" w14:textId="77777777" w:rsidR="00724860" w:rsidRPr="00724860" w:rsidRDefault="00724860" w:rsidP="00724860">
      <w:pPr>
        <w:jc w:val="both"/>
        <w:rPr>
          <w:sz w:val="28"/>
          <w:szCs w:val="28"/>
        </w:rPr>
      </w:pPr>
      <w:r w:rsidRPr="00724860">
        <w:rPr>
          <w:sz w:val="28"/>
          <w:szCs w:val="28"/>
        </w:rPr>
        <w:t>I hereby certify that a copy of the foregoing has been served on the prosecutor by personal service or by leaving a copy of said motion with an employee of the Office of the District Attorney</w:t>
      </w:r>
      <w:r>
        <w:rPr>
          <w:sz w:val="28"/>
          <w:szCs w:val="28"/>
        </w:rPr>
        <w:t xml:space="preserve"> or by United States mail, first class postage paid</w:t>
      </w:r>
      <w:r w:rsidRPr="00724860">
        <w:rPr>
          <w:sz w:val="28"/>
          <w:szCs w:val="28"/>
        </w:rPr>
        <w:t xml:space="preserve">. </w:t>
      </w:r>
    </w:p>
    <w:p w14:paraId="64766113" w14:textId="77777777" w:rsidR="00724860" w:rsidRPr="00724860" w:rsidRDefault="00724860" w:rsidP="00724860">
      <w:pPr>
        <w:jc w:val="both"/>
        <w:rPr>
          <w:sz w:val="28"/>
          <w:szCs w:val="28"/>
        </w:rPr>
      </w:pPr>
    </w:p>
    <w:p w14:paraId="2C770ED7" w14:textId="7533918D" w:rsidR="00724860" w:rsidRPr="00724860" w:rsidRDefault="00724860" w:rsidP="00724860">
      <w:pPr>
        <w:jc w:val="both"/>
        <w:rPr>
          <w:sz w:val="28"/>
          <w:szCs w:val="28"/>
        </w:rPr>
      </w:pPr>
      <w:r w:rsidRPr="00724860">
        <w:rPr>
          <w:sz w:val="28"/>
          <w:szCs w:val="28"/>
        </w:rPr>
        <w:t>T</w:t>
      </w:r>
      <w:r>
        <w:rPr>
          <w:sz w:val="28"/>
          <w:szCs w:val="28"/>
        </w:rPr>
        <w:t xml:space="preserve">his </w:t>
      </w:r>
      <w:r w:rsidR="00692057">
        <w:rPr>
          <w:sz w:val="28"/>
          <w:szCs w:val="28"/>
        </w:rPr>
        <w:t>19</w:t>
      </w:r>
      <w:r w:rsidR="00692057" w:rsidRPr="00692057">
        <w:rPr>
          <w:sz w:val="28"/>
          <w:szCs w:val="28"/>
          <w:vertAlign w:val="superscript"/>
        </w:rPr>
        <w:t>th</w:t>
      </w:r>
      <w:r w:rsidR="00692057">
        <w:rPr>
          <w:sz w:val="28"/>
          <w:szCs w:val="28"/>
        </w:rPr>
        <w:t xml:space="preserve"> day of June, 2018. </w:t>
      </w:r>
    </w:p>
    <w:p w14:paraId="6E810806" w14:textId="77777777" w:rsidR="00724860" w:rsidRPr="00724860" w:rsidRDefault="00724860" w:rsidP="00724860">
      <w:pPr>
        <w:jc w:val="both"/>
        <w:rPr>
          <w:sz w:val="28"/>
          <w:szCs w:val="28"/>
        </w:rPr>
      </w:pPr>
    </w:p>
    <w:p w14:paraId="671DB7AD" w14:textId="77777777" w:rsidR="00724860" w:rsidRPr="00724860" w:rsidRDefault="00724860" w:rsidP="00724860">
      <w:pPr>
        <w:jc w:val="both"/>
        <w:rPr>
          <w:sz w:val="28"/>
          <w:szCs w:val="28"/>
        </w:rPr>
      </w:pPr>
    </w:p>
    <w:p w14:paraId="7A1C5E75" w14:textId="77777777" w:rsidR="00724860" w:rsidRPr="00724860" w:rsidRDefault="00724860" w:rsidP="00724860">
      <w:pPr>
        <w:jc w:val="both"/>
        <w:rPr>
          <w:sz w:val="28"/>
          <w:szCs w:val="28"/>
        </w:rPr>
      </w:pPr>
    </w:p>
    <w:p w14:paraId="2D609CF3" w14:textId="77777777" w:rsidR="00724860" w:rsidRPr="00724860" w:rsidRDefault="00724860" w:rsidP="00724860">
      <w:pPr>
        <w:jc w:val="both"/>
        <w:rPr>
          <w:sz w:val="28"/>
          <w:szCs w:val="28"/>
        </w:rPr>
      </w:pPr>
      <w:r w:rsidRPr="00724860">
        <w:rPr>
          <w:sz w:val="28"/>
          <w:szCs w:val="28"/>
        </w:rPr>
        <w:t>_____________________________</w:t>
      </w:r>
      <w:r>
        <w:rPr>
          <w:sz w:val="28"/>
          <w:szCs w:val="28"/>
        </w:rPr>
        <w:t>______</w:t>
      </w:r>
      <w:r w:rsidRPr="00724860">
        <w:rPr>
          <w:sz w:val="28"/>
          <w:szCs w:val="28"/>
        </w:rPr>
        <w:t>_</w:t>
      </w:r>
    </w:p>
    <w:p w14:paraId="6E71E639" w14:textId="7C783DAC" w:rsidR="00724860" w:rsidRPr="00724860" w:rsidRDefault="00692057" w:rsidP="00724860">
      <w:pPr>
        <w:jc w:val="both"/>
        <w:rPr>
          <w:sz w:val="28"/>
          <w:szCs w:val="28"/>
        </w:rPr>
      </w:pPr>
      <w:r>
        <w:rPr>
          <w:sz w:val="28"/>
          <w:szCs w:val="28"/>
        </w:rPr>
        <w:t>Emmanuel Sanders, Pro Se</w:t>
      </w:r>
    </w:p>
    <w:p w14:paraId="229A11A5" w14:textId="77777777" w:rsidR="00FA6BAC" w:rsidRPr="00724860" w:rsidRDefault="00FA6BAC">
      <w:pPr>
        <w:rPr>
          <w:sz w:val="28"/>
          <w:szCs w:val="28"/>
        </w:rPr>
      </w:pPr>
    </w:p>
    <w:sectPr w:rsidR="00FA6BAC" w:rsidRPr="0072486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3616E" w14:textId="77777777" w:rsidR="00091DF9" w:rsidRDefault="00091DF9" w:rsidP="00AB70A4">
      <w:r>
        <w:separator/>
      </w:r>
    </w:p>
  </w:endnote>
  <w:endnote w:type="continuationSeparator" w:id="0">
    <w:p w14:paraId="43F9C3CB" w14:textId="77777777" w:rsidR="00091DF9" w:rsidRDefault="00091DF9" w:rsidP="00AB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564429"/>
      <w:docPartObj>
        <w:docPartGallery w:val="Page Numbers (Bottom of Page)"/>
        <w:docPartUnique/>
      </w:docPartObj>
    </w:sdtPr>
    <w:sdtEndPr>
      <w:rPr>
        <w:noProof/>
      </w:rPr>
    </w:sdtEndPr>
    <w:sdtContent>
      <w:p w14:paraId="74606546" w14:textId="536ABACF" w:rsidR="003B474B" w:rsidRDefault="003B474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B48C21" w14:textId="77777777" w:rsidR="003B474B" w:rsidRDefault="003B4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06545" w14:textId="77777777" w:rsidR="00091DF9" w:rsidRDefault="00091DF9" w:rsidP="00AB70A4">
      <w:r>
        <w:separator/>
      </w:r>
    </w:p>
  </w:footnote>
  <w:footnote w:type="continuationSeparator" w:id="0">
    <w:p w14:paraId="723037E2" w14:textId="77777777" w:rsidR="00091DF9" w:rsidRDefault="00091DF9" w:rsidP="00AB70A4">
      <w:r>
        <w:continuationSeparator/>
      </w:r>
    </w:p>
  </w:footnote>
  <w:footnote w:id="1">
    <w:p w14:paraId="2B3E2A4A" w14:textId="77777777" w:rsidR="003B474B" w:rsidRPr="007C3E0B" w:rsidRDefault="003B474B" w:rsidP="000815B2">
      <w:pPr>
        <w:pStyle w:val="FootnoteText"/>
        <w:rPr>
          <w:sz w:val="24"/>
          <w:szCs w:val="24"/>
        </w:rPr>
      </w:pPr>
      <w:r w:rsidRPr="007C3E0B">
        <w:rPr>
          <w:rStyle w:val="FootnoteReference"/>
          <w:sz w:val="24"/>
          <w:szCs w:val="24"/>
        </w:rPr>
        <w:footnoteRef/>
      </w:r>
      <w:r w:rsidRPr="007C3E0B">
        <w:rPr>
          <w:sz w:val="24"/>
          <w:szCs w:val="24"/>
        </w:rPr>
        <w:t xml:space="preserve"> Interview with Marjorie Giles, 11/22/13. </w:t>
      </w:r>
    </w:p>
  </w:footnote>
  <w:footnote w:id="2">
    <w:p w14:paraId="0C045DCA" w14:textId="77777777" w:rsidR="003B474B" w:rsidRPr="007C3E0B" w:rsidRDefault="003B474B" w:rsidP="00026E36">
      <w:pPr>
        <w:pStyle w:val="FootnoteText"/>
        <w:rPr>
          <w:sz w:val="24"/>
          <w:szCs w:val="24"/>
        </w:rPr>
      </w:pPr>
      <w:r w:rsidRPr="007C3E0B">
        <w:rPr>
          <w:rStyle w:val="FootnoteReference"/>
          <w:sz w:val="24"/>
          <w:szCs w:val="24"/>
        </w:rPr>
        <w:footnoteRef/>
      </w:r>
      <w:r w:rsidRPr="007C3E0B">
        <w:rPr>
          <w:sz w:val="24"/>
          <w:szCs w:val="24"/>
        </w:rPr>
        <w:t xml:space="preserve"> Lee Rainie, et al., Pew Research Ctr., </w:t>
      </w:r>
      <w:r w:rsidRPr="007C3E0B">
        <w:rPr>
          <w:i/>
          <w:sz w:val="24"/>
          <w:szCs w:val="24"/>
        </w:rPr>
        <w:t>The Web at 25 in the U.S.</w:t>
      </w:r>
      <w:r w:rsidRPr="007C3E0B">
        <w:rPr>
          <w:sz w:val="24"/>
          <w:szCs w:val="24"/>
        </w:rPr>
        <w:t xml:space="preserve"> 14 (2014), </w:t>
      </w:r>
      <w:r w:rsidRPr="007C3E0B">
        <w:rPr>
          <w:i/>
          <w:sz w:val="24"/>
          <w:szCs w:val="24"/>
        </w:rPr>
        <w:t>available at</w:t>
      </w:r>
    </w:p>
    <w:p w14:paraId="1CE58490" w14:textId="1E8ED18F" w:rsidR="003B474B" w:rsidRPr="007C3E0B" w:rsidRDefault="003B474B" w:rsidP="00026E36">
      <w:pPr>
        <w:pStyle w:val="FootnoteText"/>
        <w:rPr>
          <w:sz w:val="24"/>
          <w:szCs w:val="24"/>
        </w:rPr>
      </w:pPr>
      <w:r w:rsidRPr="007C3E0B">
        <w:rPr>
          <w:sz w:val="24"/>
          <w:szCs w:val="24"/>
        </w:rPr>
        <w:t>http://www.pewinternet.org/files/2014/02/PIP_25th-anniversary-of-the-Web_0227141.pdf.</w:t>
      </w:r>
    </w:p>
  </w:footnote>
  <w:footnote w:id="3">
    <w:p w14:paraId="464FB953" w14:textId="48FE0F93" w:rsidR="003B474B" w:rsidRPr="007C3E0B" w:rsidRDefault="003B474B" w:rsidP="00026E36">
      <w:pPr>
        <w:pStyle w:val="FootnoteText"/>
        <w:rPr>
          <w:sz w:val="24"/>
          <w:szCs w:val="24"/>
        </w:rPr>
      </w:pPr>
      <w:r w:rsidRPr="007C3E0B">
        <w:rPr>
          <w:rStyle w:val="FootnoteReference"/>
          <w:sz w:val="24"/>
          <w:szCs w:val="24"/>
        </w:rPr>
        <w:footnoteRef/>
      </w:r>
      <w:r w:rsidRPr="007C3E0B">
        <w:rPr>
          <w:sz w:val="24"/>
          <w:szCs w:val="24"/>
        </w:rPr>
        <w:t xml:space="preserve"> </w:t>
      </w:r>
      <w:r w:rsidRPr="007C3E0B">
        <w:rPr>
          <w:i/>
          <w:sz w:val="24"/>
          <w:szCs w:val="24"/>
        </w:rPr>
        <w:t>See Mobile Fact Sheet</w:t>
      </w:r>
      <w:r w:rsidRPr="007C3E0B">
        <w:rPr>
          <w:sz w:val="24"/>
          <w:szCs w:val="24"/>
        </w:rPr>
        <w:t xml:space="preserve">, Pew Research Center (Feb. 5, 2018), http://www.pewinternet.org/fact-sheet/mobile/; </w:t>
      </w:r>
      <w:r w:rsidRPr="007C3E0B">
        <w:rPr>
          <w:i/>
          <w:sz w:val="24"/>
          <w:szCs w:val="24"/>
        </w:rPr>
        <w:t>2013 Mobile Consumer Habits Study</w:t>
      </w:r>
      <w:r w:rsidRPr="007C3E0B">
        <w:rPr>
          <w:sz w:val="24"/>
          <w:szCs w:val="24"/>
        </w:rPr>
        <w:t xml:space="preserve"> 2–3, Harris Interactive (June 2013), http://pages.jumio.com/rs/jumio/images/Jumio%20-%20Mobile%20Consumer%20Habits%20Study-2.pdf</w:t>
      </w:r>
    </w:p>
  </w:footnote>
  <w:footnote w:id="4">
    <w:p w14:paraId="6E59F36A" w14:textId="7B516F78" w:rsidR="003B474B" w:rsidRPr="007C3E0B" w:rsidRDefault="003B474B" w:rsidP="00026E36">
      <w:pPr>
        <w:pStyle w:val="FootnoteText"/>
        <w:rPr>
          <w:sz w:val="24"/>
          <w:szCs w:val="24"/>
        </w:rPr>
      </w:pPr>
      <w:r w:rsidRPr="007C3E0B">
        <w:rPr>
          <w:rStyle w:val="FootnoteReference"/>
          <w:sz w:val="24"/>
          <w:szCs w:val="24"/>
        </w:rPr>
        <w:footnoteRef/>
      </w:r>
      <w:r w:rsidRPr="007C3E0B">
        <w:rPr>
          <w:sz w:val="24"/>
          <w:szCs w:val="24"/>
        </w:rPr>
        <w:t xml:space="preserve"> </w:t>
      </w:r>
      <w:r w:rsidRPr="007C3E0B">
        <w:rPr>
          <w:i/>
          <w:sz w:val="24"/>
          <w:szCs w:val="24"/>
        </w:rPr>
        <w:t>See</w:t>
      </w:r>
      <w:r w:rsidRPr="007C3E0B">
        <w:rPr>
          <w:sz w:val="24"/>
          <w:szCs w:val="24"/>
        </w:rPr>
        <w:t xml:space="preserve"> Electronic Communications Privacy Act (ECPA) (Part II): Geolocation Privacy and Surveillance, Hearing Before the Subcomm. on Crime, Terrorism, Homeland Security, and Investigations, of the H. Comm. on the Judiciary, 113th Cong. 50, at 6, 9 (2013) (written testimony of Professor Matt Blaze, University of Pennsylvania) (“2013 Blaze Testimony”), available at https://judiciary.house.gov/wp-content/uploads/2016/02/BlazeTestimony.pdf.</w:t>
      </w:r>
    </w:p>
  </w:footnote>
  <w:footnote w:id="5">
    <w:p w14:paraId="2B9388AD" w14:textId="7C8C27CF" w:rsidR="003B474B" w:rsidRPr="007C3E0B" w:rsidRDefault="003B474B" w:rsidP="00026E36">
      <w:pPr>
        <w:rPr>
          <w:i/>
        </w:rPr>
      </w:pPr>
      <w:r w:rsidRPr="007C3E0B">
        <w:rPr>
          <w:rStyle w:val="FootnoteReference"/>
        </w:rPr>
        <w:footnoteRef/>
      </w:r>
      <w:r w:rsidRPr="007C3E0B">
        <w:t xml:space="preserve"> </w:t>
      </w:r>
      <w:r w:rsidRPr="007C3E0B">
        <w:rPr>
          <w:i/>
        </w:rPr>
        <w:t>Id.</w:t>
      </w:r>
    </w:p>
  </w:footnote>
  <w:footnote w:id="6">
    <w:p w14:paraId="706E9DF8" w14:textId="6C9F168B" w:rsidR="003B474B" w:rsidRPr="007C3E0B" w:rsidRDefault="003B474B" w:rsidP="00026E36">
      <w:r w:rsidRPr="007C3E0B">
        <w:rPr>
          <w:rStyle w:val="FootnoteReference"/>
        </w:rPr>
        <w:footnoteRef/>
      </w:r>
      <w:r w:rsidRPr="007C3E0B">
        <w:t xml:space="preserve"> </w:t>
      </w:r>
      <w:r w:rsidRPr="007C3E0B">
        <w:rPr>
          <w:i/>
        </w:rPr>
        <w:t xml:space="preserve">See </w:t>
      </w:r>
      <w:r w:rsidRPr="007C3E0B">
        <w:t xml:space="preserve">CTIA—The Wireless Association, </w:t>
      </w:r>
      <w:r w:rsidRPr="007C3E0B">
        <w:rPr>
          <w:i/>
        </w:rPr>
        <w:t>Annual Year-End 2016 Top-Line Survey Results</w:t>
      </w:r>
      <w:r w:rsidRPr="007C3E0B">
        <w:t xml:space="preserve"> 4 (May 2017) (308,334 cell sites in 2016).</w:t>
      </w:r>
    </w:p>
  </w:footnote>
  <w:footnote w:id="7">
    <w:p w14:paraId="724C7F71" w14:textId="0C038FEC" w:rsidR="003B474B" w:rsidRPr="007C3E0B" w:rsidRDefault="003B474B" w:rsidP="00026E36">
      <w:pPr>
        <w:pStyle w:val="FootnoteText"/>
        <w:rPr>
          <w:sz w:val="24"/>
          <w:szCs w:val="24"/>
        </w:rPr>
      </w:pPr>
      <w:r w:rsidRPr="007C3E0B">
        <w:rPr>
          <w:rStyle w:val="FootnoteReference"/>
          <w:sz w:val="24"/>
          <w:szCs w:val="24"/>
        </w:rPr>
        <w:footnoteRef/>
      </w:r>
      <w:r w:rsidRPr="007C3E0B">
        <w:rPr>
          <w:sz w:val="24"/>
          <w:szCs w:val="24"/>
        </w:rPr>
        <w:t xml:space="preserve"> A different estimate reports 690,046 towers and 1,954,720 antennae—including those used for cellular and other communications services—as of September 14, 2018. AntennaSearch.com, http://antennasearch.com.</w:t>
      </w:r>
    </w:p>
  </w:footnote>
  <w:footnote w:id="8">
    <w:p w14:paraId="1B4B6E0E" w14:textId="35C66A5D" w:rsidR="003B474B" w:rsidRPr="007C3E0B" w:rsidRDefault="003B474B" w:rsidP="00026E36">
      <w:r w:rsidRPr="007C3E0B">
        <w:rPr>
          <w:rStyle w:val="FootnoteReference"/>
        </w:rPr>
        <w:footnoteRef/>
      </w:r>
      <w:r w:rsidRPr="007C3E0B">
        <w:t xml:space="preserve"> </w:t>
      </w:r>
      <w:r w:rsidRPr="007C3E0B">
        <w:rPr>
          <w:i/>
        </w:rPr>
        <w:t>Mobile Fact Sheet</w:t>
      </w:r>
      <w:r w:rsidRPr="007C3E0B">
        <w:t>, Pew Research Center; CTIA 2016 Survey at 2 (262 million smartphones in use in 2016).</w:t>
      </w:r>
    </w:p>
  </w:footnote>
  <w:footnote w:id="9">
    <w:p w14:paraId="13D36B4C" w14:textId="399E6549" w:rsidR="003B474B" w:rsidRPr="007C3E0B" w:rsidRDefault="003B474B" w:rsidP="00026E36">
      <w:pPr>
        <w:pStyle w:val="FootnoteText"/>
        <w:rPr>
          <w:sz w:val="24"/>
          <w:szCs w:val="24"/>
        </w:rPr>
      </w:pPr>
      <w:r w:rsidRPr="007C3E0B">
        <w:rPr>
          <w:rStyle w:val="FootnoteReference"/>
          <w:sz w:val="24"/>
          <w:szCs w:val="24"/>
        </w:rPr>
        <w:footnoteRef/>
      </w:r>
      <w:r w:rsidRPr="007C3E0B">
        <w:rPr>
          <w:sz w:val="24"/>
          <w:szCs w:val="24"/>
        </w:rPr>
        <w:t xml:space="preserve"> </w:t>
      </w:r>
      <w:r w:rsidRPr="007C3E0B">
        <w:rPr>
          <w:i/>
          <w:sz w:val="24"/>
          <w:szCs w:val="24"/>
        </w:rPr>
        <w:t>See A Peek Inside the GTalkService Connection</w:t>
      </w:r>
      <w:r w:rsidRPr="007C3E0B">
        <w:rPr>
          <w:sz w:val="24"/>
          <w:szCs w:val="24"/>
        </w:rPr>
        <w:t xml:space="preserve"> (June 28, 2010), https://jon.oberheide.org/blog/2010/06/28/a-peek-inside-the-gtalkservice-connection/ (“In short, the GTalkService is a persistent connection maintained from your Android phone to Google’s servers at all time. It allows Google to push down messages to your phone in order to perform particular actions.”).</w:t>
      </w:r>
    </w:p>
  </w:footnote>
  <w:footnote w:id="10">
    <w:p w14:paraId="4FFAD1D6" w14:textId="6B49EEB3" w:rsidR="003B474B" w:rsidRPr="007C3E0B" w:rsidRDefault="003B474B">
      <w:pPr>
        <w:pStyle w:val="FootnoteText"/>
        <w:rPr>
          <w:sz w:val="24"/>
          <w:szCs w:val="24"/>
        </w:rPr>
      </w:pPr>
      <w:r w:rsidRPr="007C3E0B">
        <w:rPr>
          <w:rStyle w:val="FootnoteReference"/>
          <w:sz w:val="24"/>
          <w:szCs w:val="24"/>
        </w:rPr>
        <w:footnoteRef/>
      </w:r>
      <w:r w:rsidRPr="007C3E0B">
        <w:rPr>
          <w:sz w:val="24"/>
          <w:szCs w:val="24"/>
        </w:rPr>
        <w:t xml:space="preserve"> </w:t>
      </w:r>
      <w:r w:rsidRPr="007C3E0B">
        <w:rPr>
          <w:i/>
          <w:iCs/>
          <w:color w:val="000000"/>
          <w:sz w:val="24"/>
          <w:szCs w:val="24"/>
        </w:rPr>
        <w:t>In re Application for Tel. Info. Needed for a Criminal Investigation</w:t>
      </w:r>
      <w:r w:rsidRPr="007C3E0B">
        <w:rPr>
          <w:color w:val="000000"/>
          <w:sz w:val="24"/>
          <w:szCs w:val="24"/>
        </w:rPr>
        <w:t xml:space="preserve">, 119 F. Supp. 3d 1011, 1014 (N.D. Cal. 2015) (quoting </w:t>
      </w:r>
      <w:r w:rsidRPr="007C3E0B">
        <w:rPr>
          <w:sz w:val="24"/>
          <w:szCs w:val="24"/>
        </w:rPr>
        <w:t xml:space="preserve">Declaration of FBI Special Agent Hector M. Luna). </w:t>
      </w:r>
    </w:p>
  </w:footnote>
  <w:footnote w:id="11">
    <w:p w14:paraId="14FC3F5A" w14:textId="245DBE60" w:rsidR="003B474B" w:rsidRPr="007C3E0B" w:rsidRDefault="003B474B" w:rsidP="00026E36">
      <w:r w:rsidRPr="007C3E0B">
        <w:rPr>
          <w:rStyle w:val="FootnoteReference"/>
        </w:rPr>
        <w:footnoteRef/>
      </w:r>
      <w:r w:rsidRPr="007C3E0B">
        <w:t xml:space="preserve"> </w:t>
      </w:r>
      <w:r w:rsidRPr="007C3E0B">
        <w:rPr>
          <w:color w:val="000000"/>
        </w:rPr>
        <w:t>Susan Freiwald, </w:t>
      </w:r>
      <w:r w:rsidRPr="007C3E0B">
        <w:rPr>
          <w:i/>
          <w:iCs/>
          <w:color w:val="000000"/>
        </w:rPr>
        <w:t>Cell Phone Location Data and the Fourth Amendment: A Question of Law, Not Fact</w:t>
      </w:r>
      <w:r w:rsidRPr="007C3E0B">
        <w:rPr>
          <w:color w:val="000000"/>
        </w:rPr>
        <w:t>, 70 </w:t>
      </w:r>
      <w:r w:rsidRPr="007C3E0B">
        <w:rPr>
          <w:color w:val="000000"/>
          <w:shd w:val="clear" w:color="auto" w:fill="FFFFFF"/>
        </w:rPr>
        <w:t>Md. L. Rev.</w:t>
      </w:r>
      <w:r w:rsidRPr="007C3E0B">
        <w:rPr>
          <w:color w:val="000000"/>
        </w:rPr>
        <w:t> 681, 703 (2011).</w:t>
      </w:r>
    </w:p>
  </w:footnote>
  <w:footnote w:id="12">
    <w:p w14:paraId="09A05341" w14:textId="77777777" w:rsidR="003B474B" w:rsidRPr="007C3E0B" w:rsidRDefault="003B474B" w:rsidP="00026E36">
      <w:pPr>
        <w:pStyle w:val="FootnoteText"/>
        <w:rPr>
          <w:sz w:val="24"/>
          <w:szCs w:val="24"/>
        </w:rPr>
      </w:pPr>
      <w:r w:rsidRPr="007C3E0B">
        <w:rPr>
          <w:rStyle w:val="FootnoteReference"/>
          <w:sz w:val="24"/>
          <w:szCs w:val="24"/>
        </w:rPr>
        <w:footnoteRef/>
      </w:r>
      <w:r w:rsidRPr="007C3E0B">
        <w:rPr>
          <w:sz w:val="24"/>
          <w:szCs w:val="24"/>
        </w:rPr>
        <w:t xml:space="preserve"> Ellen Nakashima, </w:t>
      </w:r>
      <w:r w:rsidRPr="007C3E0B">
        <w:rPr>
          <w:i/>
          <w:sz w:val="24"/>
          <w:szCs w:val="24"/>
        </w:rPr>
        <w:t>Agencies Collected Data on Americans’ Cellphone Use in Thousands of ‘Tower Dumps,’</w:t>
      </w:r>
    </w:p>
    <w:p w14:paraId="198AEF8A" w14:textId="3DEE9122" w:rsidR="003B474B" w:rsidRPr="007C3E0B" w:rsidRDefault="003B474B" w:rsidP="00026E36">
      <w:pPr>
        <w:pStyle w:val="FootnoteText"/>
        <w:rPr>
          <w:sz w:val="24"/>
          <w:szCs w:val="24"/>
        </w:rPr>
      </w:pPr>
      <w:r w:rsidRPr="007C3E0B">
        <w:rPr>
          <w:sz w:val="24"/>
          <w:szCs w:val="24"/>
        </w:rPr>
        <w:t>Wash. Post, Dec. 8, 2013, http://www.washingtonpost.com/world/national-security/agencies-collected-data-onamericans-cellphone-use-in-thousands-of-tower-dumps/2013/12/08/20549190-5e80-11e3-be07-006c776266ed_story.html (“[E]ach [tower dump] request to a phone company yield[ed] hundreds or thousands of</w:t>
      </w:r>
    </w:p>
    <w:p w14:paraId="344F5452" w14:textId="04429228" w:rsidR="003B474B" w:rsidRPr="007C3E0B" w:rsidRDefault="003B474B" w:rsidP="00026E36">
      <w:pPr>
        <w:pStyle w:val="FootnoteText"/>
        <w:rPr>
          <w:sz w:val="24"/>
          <w:szCs w:val="24"/>
        </w:rPr>
      </w:pPr>
      <w:r w:rsidRPr="007C3E0B">
        <w:rPr>
          <w:sz w:val="24"/>
          <w:szCs w:val="24"/>
        </w:rPr>
        <w:t>phone number of innocent Americans.”).</w:t>
      </w:r>
    </w:p>
  </w:footnote>
  <w:footnote w:id="13">
    <w:p w14:paraId="48FF17F9" w14:textId="5847D1DE" w:rsidR="003B474B" w:rsidRPr="007C3E0B" w:rsidRDefault="003B474B">
      <w:pPr>
        <w:pStyle w:val="FootnoteText"/>
        <w:rPr>
          <w:i/>
          <w:sz w:val="24"/>
          <w:szCs w:val="24"/>
        </w:rPr>
      </w:pPr>
      <w:r w:rsidRPr="007C3E0B">
        <w:rPr>
          <w:rStyle w:val="FootnoteReference"/>
          <w:sz w:val="24"/>
          <w:szCs w:val="24"/>
        </w:rPr>
        <w:footnoteRef/>
      </w:r>
      <w:r w:rsidRPr="007C3E0B">
        <w:rPr>
          <w:sz w:val="24"/>
          <w:szCs w:val="24"/>
        </w:rPr>
        <w:t xml:space="preserve"> </w:t>
      </w:r>
      <w:r w:rsidRPr="007C3E0B">
        <w:rPr>
          <w:i/>
          <w:sz w:val="24"/>
          <w:szCs w:val="24"/>
        </w:rPr>
        <w:t>Id.</w:t>
      </w:r>
    </w:p>
  </w:footnote>
  <w:footnote w:id="14">
    <w:p w14:paraId="3D1724C9" w14:textId="662A4AE2" w:rsidR="003B474B" w:rsidRPr="007C3E0B" w:rsidRDefault="003B474B">
      <w:pPr>
        <w:pStyle w:val="FootnoteText"/>
        <w:rPr>
          <w:sz w:val="24"/>
          <w:szCs w:val="24"/>
        </w:rPr>
      </w:pPr>
      <w:r w:rsidRPr="007C3E0B">
        <w:rPr>
          <w:rStyle w:val="FootnoteReference"/>
          <w:sz w:val="24"/>
          <w:szCs w:val="24"/>
        </w:rPr>
        <w:footnoteRef/>
      </w:r>
      <w:r w:rsidRPr="007C3E0B">
        <w:rPr>
          <w:sz w:val="24"/>
          <w:szCs w:val="24"/>
        </w:rPr>
        <w:t xml:space="preserve"> John Kelly, </w:t>
      </w:r>
      <w:r w:rsidRPr="007C3E0B">
        <w:rPr>
          <w:i/>
          <w:sz w:val="24"/>
          <w:szCs w:val="24"/>
        </w:rPr>
        <w:t>Cellphone Data Spying: It’s Not Just the NSA</w:t>
      </w:r>
      <w:r w:rsidRPr="007C3E0B">
        <w:rPr>
          <w:sz w:val="24"/>
          <w:szCs w:val="24"/>
        </w:rPr>
        <w:t xml:space="preserve">, USA Today, Dec.8, 2013, https://www.usatoday.com/story/news/nation/2013/12/08/cellphone-data-spying-nsa-police/3902809/. </w:t>
      </w:r>
    </w:p>
  </w:footnote>
  <w:footnote w:id="15">
    <w:p w14:paraId="0CDBA2C7" w14:textId="77777777" w:rsidR="003B474B" w:rsidRPr="007C3E0B" w:rsidRDefault="003B474B" w:rsidP="00874E90">
      <w:pPr>
        <w:pStyle w:val="FootnoteText"/>
        <w:rPr>
          <w:sz w:val="24"/>
          <w:szCs w:val="24"/>
        </w:rPr>
      </w:pPr>
      <w:r w:rsidRPr="007C3E0B">
        <w:rPr>
          <w:rStyle w:val="FootnoteReference"/>
          <w:sz w:val="24"/>
          <w:szCs w:val="24"/>
        </w:rPr>
        <w:footnoteRef/>
      </w:r>
      <w:r w:rsidRPr="007C3E0B">
        <w:rPr>
          <w:sz w:val="24"/>
          <w:szCs w:val="24"/>
        </w:rPr>
        <w:t xml:space="preserve"> The Dictionary Act does not compel a different result. Cf. </w:t>
      </w:r>
      <w:r w:rsidRPr="007C3E0B">
        <w:rPr>
          <w:i/>
          <w:iCs/>
          <w:color w:val="000000"/>
          <w:sz w:val="24"/>
          <w:szCs w:val="24"/>
        </w:rPr>
        <w:t>In re Cell Tower Records Under 18 U.S.C. 2703(D)</w:t>
      </w:r>
      <w:r w:rsidRPr="007C3E0B">
        <w:rPr>
          <w:color w:val="000000"/>
          <w:sz w:val="24"/>
          <w:szCs w:val="24"/>
        </w:rPr>
        <w:t xml:space="preserve">, 90 F. Supp. 3d 673, 676–77 (S.D. Tex. 2015); </w:t>
      </w:r>
      <w:r w:rsidRPr="007C3E0B">
        <w:rPr>
          <w:i/>
          <w:iCs/>
          <w:color w:val="000000"/>
          <w:sz w:val="24"/>
          <w:szCs w:val="24"/>
        </w:rPr>
        <w:t>In re Application of the U.S.A. for an Order Pursuant to 18 U.S.C. 2703(c), 2703(d) Directing AT &amp; T, Sprint/Nextel, T-Mobile, Metro PCS, Verizon Wireless</w:t>
      </w:r>
      <w:r w:rsidRPr="007C3E0B">
        <w:rPr>
          <w:color w:val="000000"/>
          <w:sz w:val="24"/>
          <w:szCs w:val="24"/>
        </w:rPr>
        <w:t>, 42 F. Supp. 3d 511, 513 (S.D.N.Y. 2014). Under the Act, “words importing the singular include and apply to several persons, parties, or things” – “</w:t>
      </w:r>
      <w:r w:rsidRPr="007C3E0B">
        <w:rPr>
          <w:i/>
          <w:color w:val="000000"/>
          <w:sz w:val="24"/>
          <w:szCs w:val="24"/>
        </w:rPr>
        <w:t>unless</w:t>
      </w:r>
      <w:r w:rsidRPr="007C3E0B">
        <w:rPr>
          <w:color w:val="000000"/>
          <w:sz w:val="24"/>
          <w:szCs w:val="24"/>
        </w:rPr>
        <w:t xml:space="preserve"> the context indicates otherwise.” 1 U.S.C. </w:t>
      </w:r>
      <w:r w:rsidRPr="007C3E0B">
        <w:rPr>
          <w:sz w:val="24"/>
          <w:szCs w:val="24"/>
        </w:rPr>
        <w:t>§ 1 (emphasis added). Here, the context indicates otherwise.</w:t>
      </w:r>
    </w:p>
  </w:footnote>
  <w:footnote w:id="16">
    <w:p w14:paraId="5D4EE8F3" w14:textId="35502CC2" w:rsidR="00AE3E33" w:rsidRDefault="00AE3E33" w:rsidP="00C2097F">
      <w:pPr>
        <w:pStyle w:val="FootnoteText"/>
        <w:jc w:val="both"/>
      </w:pPr>
      <w:r>
        <w:rPr>
          <w:rStyle w:val="FootnoteReference"/>
        </w:rPr>
        <w:footnoteRef/>
      </w:r>
      <w:r>
        <w:t xml:space="preserve"> The harms here are not speculative. In addition to </w:t>
      </w:r>
      <w:r w:rsidR="00C2097F">
        <w:t>Mr.</w:t>
      </w:r>
      <w:r w:rsidR="001C609A">
        <w:t xml:space="preserve"> Sa</w:t>
      </w:r>
      <w:r w:rsidR="00C2097F">
        <w:t>nders, six other individuals were arrested for the crimes alleged in this case based on the tower dump data obtained by the government. The charges against these six individuals were dismissed after 10 months, presumably because the government determined through other means that they were not responsible and had been wrongly charged and detained.</w:t>
      </w:r>
    </w:p>
  </w:footnote>
  <w:footnote w:id="17">
    <w:p w14:paraId="31945F99" w14:textId="3A621440" w:rsidR="003B474B" w:rsidRPr="007C3E0B" w:rsidRDefault="003B474B" w:rsidP="007C3E0B">
      <w:pPr>
        <w:autoSpaceDE w:val="0"/>
        <w:autoSpaceDN w:val="0"/>
        <w:adjustRightInd w:val="0"/>
        <w:rPr>
          <w:rFonts w:eastAsiaTheme="minorHAnsi"/>
        </w:rPr>
      </w:pPr>
      <w:r w:rsidRPr="007C3E0B">
        <w:rPr>
          <w:rStyle w:val="FootnoteReference"/>
        </w:rPr>
        <w:footnoteRef/>
      </w:r>
      <w:r w:rsidRPr="007C3E0B">
        <w:t xml:space="preserve"> </w:t>
      </w:r>
      <w:r w:rsidRPr="007C3E0B">
        <w:rPr>
          <w:i/>
        </w:rPr>
        <w:t>See, e.g.,</w:t>
      </w:r>
      <w:r w:rsidRPr="007C3E0B">
        <w:t xml:space="preserve"> </w:t>
      </w:r>
      <w:r w:rsidRPr="007C3E0B">
        <w:rPr>
          <w:rFonts w:eastAsiaTheme="minorHAnsi"/>
        </w:rPr>
        <w:t xml:space="preserve">Hon. Brian L. Owsley, </w:t>
      </w:r>
      <w:r w:rsidRPr="007C3E0B">
        <w:rPr>
          <w:rFonts w:eastAsiaTheme="minorHAnsi"/>
          <w:i/>
        </w:rPr>
        <w:t>The Fourth Amendment Implications of the Government’s Use of Cell Tower Dumps in Its Electronic Surveillance</w:t>
      </w:r>
      <w:r w:rsidRPr="007C3E0B">
        <w:rPr>
          <w:rFonts w:eastAsiaTheme="minorHAnsi"/>
        </w:rPr>
        <w:t xml:space="preserve">, 16 U. Pa. J. Const. L. 1, 17–23 (2013) (law enforcement agencies use tower dumps “routinely”); </w:t>
      </w:r>
      <w:r w:rsidRPr="007C3E0B">
        <w:t>Verizon, Transparency Report 1H 2017, https://www.verizon.com/about/portal/transparency-report/wp-content/uploads/2018/05/Transparency-Report-US-1H-2017.pdf (reporting approximately 8,870 warrants or court orders for “cell tower dumps” in the first half of 2017).</w:t>
      </w:r>
    </w:p>
  </w:footnote>
  <w:footnote w:id="18">
    <w:p w14:paraId="75352BE1" w14:textId="07275B97" w:rsidR="003B474B" w:rsidRPr="007C3E0B" w:rsidRDefault="003B474B" w:rsidP="007C3E0B">
      <w:pPr>
        <w:autoSpaceDE w:val="0"/>
        <w:autoSpaceDN w:val="0"/>
        <w:adjustRightInd w:val="0"/>
        <w:rPr>
          <w:rFonts w:eastAsiaTheme="minorHAnsi"/>
          <w:i/>
        </w:rPr>
      </w:pPr>
      <w:r w:rsidRPr="007C3E0B">
        <w:rPr>
          <w:rStyle w:val="FootnoteReference"/>
        </w:rPr>
        <w:footnoteRef/>
      </w:r>
      <w:r w:rsidRPr="007C3E0B">
        <w:t xml:space="preserve"> </w:t>
      </w:r>
      <w:r w:rsidRPr="007C3E0B">
        <w:rPr>
          <w:rFonts w:eastAsiaTheme="minorHAnsi"/>
          <w:i/>
        </w:rPr>
        <w:t>See In re Application of the United States for an Order Pursuant to 18 U.S.C. § 2703(d) Directing Providers to</w:t>
      </w:r>
      <w:r>
        <w:rPr>
          <w:rFonts w:eastAsiaTheme="minorHAnsi"/>
          <w:i/>
        </w:rPr>
        <w:t xml:space="preserve"> </w:t>
      </w:r>
      <w:r w:rsidRPr="007C3E0B">
        <w:rPr>
          <w:rFonts w:eastAsiaTheme="minorHAnsi"/>
          <w:i/>
        </w:rPr>
        <w:t>Provide Historical Cell Site Locations Records</w:t>
      </w:r>
      <w:r w:rsidRPr="007C3E0B">
        <w:rPr>
          <w:rFonts w:eastAsiaTheme="minorHAnsi"/>
        </w:rPr>
        <w:t xml:space="preserve"> (“ Owsley Opinion I”), 930 F. Supp. 2d 698 (S.D. Tex. 2012)</w:t>
      </w:r>
      <w:r>
        <w:rPr>
          <w:rFonts w:eastAsiaTheme="minorHAnsi"/>
        </w:rPr>
        <w:t xml:space="preserve"> </w:t>
      </w:r>
      <w:r w:rsidRPr="007C3E0B">
        <w:rPr>
          <w:rFonts w:eastAsiaTheme="minorHAnsi"/>
        </w:rPr>
        <w:t xml:space="preserve">(Owsley, M.J.);  </w:t>
      </w:r>
      <w:r w:rsidRPr="007C3E0B">
        <w:rPr>
          <w:rFonts w:eastAsiaTheme="minorHAnsi"/>
          <w:i/>
        </w:rPr>
        <w:t>In re Search of Cellular Phone Towers</w:t>
      </w:r>
      <w:r w:rsidRPr="007C3E0B">
        <w:rPr>
          <w:rFonts w:eastAsiaTheme="minorHAnsi"/>
        </w:rPr>
        <w:t xml:space="preserve"> (“ Owsley Opinion II”), 945 F. Supp. 2d 769, 770 (S.D. Tex. 2013) (Owsley, M.J.);  </w:t>
      </w:r>
      <w:r>
        <w:rPr>
          <w:rFonts w:eastAsiaTheme="minorHAnsi"/>
          <w:i/>
        </w:rPr>
        <w:t xml:space="preserve">In re </w:t>
      </w:r>
      <w:r w:rsidRPr="007C3E0B">
        <w:rPr>
          <w:rFonts w:eastAsiaTheme="minorHAnsi"/>
          <w:i/>
        </w:rPr>
        <w:t>Application of the United States for an Order Pursuant to 18 U.S.C. § 2703(d)</w:t>
      </w:r>
      <w:r w:rsidRPr="007C3E0B">
        <w:rPr>
          <w:rFonts w:eastAsiaTheme="minorHAnsi"/>
        </w:rPr>
        <w:t xml:space="preserve"> (“Owsley Opinion III”), 964 F. Supp. 2d 674 (S.D. Tex. 2013) (Owsley, M.J.); </w:t>
      </w:r>
      <w:r w:rsidRPr="007C3E0B">
        <w:rPr>
          <w:rFonts w:eastAsiaTheme="minorHAnsi"/>
          <w:i/>
        </w:rPr>
        <w:t>In re Application</w:t>
      </w:r>
      <w:r>
        <w:rPr>
          <w:rFonts w:eastAsiaTheme="minorHAnsi"/>
          <w:i/>
        </w:rPr>
        <w:t xml:space="preserve"> </w:t>
      </w:r>
      <w:r w:rsidRPr="007C3E0B">
        <w:rPr>
          <w:rFonts w:eastAsiaTheme="minorHAnsi"/>
          <w:i/>
        </w:rPr>
        <w:t>of the U.S.A. for an Order Pursuant to 18 U.S.C. §§ 2703(c) and 2703(d)</w:t>
      </w:r>
      <w:r>
        <w:rPr>
          <w:rFonts w:eastAsiaTheme="minorHAnsi"/>
        </w:rPr>
        <w:t>, 42</w:t>
      </w:r>
      <w:r w:rsidRPr="007C3E0B">
        <w:rPr>
          <w:rFonts w:eastAsiaTheme="minorHAnsi"/>
        </w:rPr>
        <w:t xml:space="preserve"> F.Supp.3d 511 (S.D.N.Y.</w:t>
      </w:r>
      <w:r>
        <w:rPr>
          <w:rFonts w:eastAsiaTheme="minorHAnsi"/>
          <w:i/>
        </w:rPr>
        <w:t xml:space="preserve"> </w:t>
      </w:r>
      <w:r w:rsidRPr="007C3E0B">
        <w:rPr>
          <w:rFonts w:eastAsiaTheme="minorHAnsi"/>
        </w:rPr>
        <w:t>2014);</w:t>
      </w:r>
      <w:r w:rsidRPr="007C3E0B">
        <w:rPr>
          <w:rFonts w:eastAsiaTheme="minorHAnsi"/>
          <w:i/>
          <w:iCs/>
          <w:color w:val="000000"/>
        </w:rPr>
        <w:t xml:space="preserve"> </w:t>
      </w:r>
      <w:r w:rsidRPr="007C3E0B">
        <w:rPr>
          <w:i/>
          <w:iCs/>
          <w:color w:val="000000"/>
        </w:rPr>
        <w:t xml:space="preserve">United States v. Pembrook, </w:t>
      </w:r>
      <w:r w:rsidRPr="007C3E0B">
        <w:rPr>
          <w:iCs/>
          <w:color w:val="000000"/>
        </w:rPr>
        <w:t xml:space="preserve">119 F.Supp.3d 577 (E.D. Mich. 2015); </w:t>
      </w:r>
      <w:r w:rsidRPr="007C3E0B">
        <w:rPr>
          <w:i/>
          <w:iCs/>
          <w:color w:val="000000"/>
        </w:rPr>
        <w:t>In re Cell Tower Records Under 18 U.S.C. 2703(D)</w:t>
      </w:r>
      <w:r w:rsidRPr="007C3E0B">
        <w:rPr>
          <w:color w:val="000000"/>
        </w:rPr>
        <w:t xml:space="preserve">, 90 F. Supp. 3d 673, 675 (S.D. Tex. 2015); </w:t>
      </w:r>
      <w:r w:rsidRPr="007C3E0B">
        <w:rPr>
          <w:i/>
          <w:iCs/>
          <w:color w:val="000000"/>
        </w:rPr>
        <w:t xml:space="preserve">In re </w:t>
      </w:r>
      <w:r w:rsidR="00B31E00">
        <w:rPr>
          <w:i/>
          <w:iCs/>
          <w:color w:val="000000"/>
        </w:rPr>
        <w:t xml:space="preserve">Application of the </w:t>
      </w:r>
      <w:r w:rsidRPr="007C3E0B">
        <w:rPr>
          <w:i/>
          <w:iCs/>
          <w:color w:val="000000"/>
        </w:rPr>
        <w:t>United States for an Order Pursuant To 18 U.S.C. §2703(d)</w:t>
      </w:r>
      <w:r w:rsidRPr="007C3E0B">
        <w:rPr>
          <w:color w:val="000000"/>
        </w:rPr>
        <w:t>, No. 2:17-MC-51662, 2017 WL 6368665 (E.D. Mich. Dec. 12,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5278F"/>
    <w:multiLevelType w:val="hybridMultilevel"/>
    <w:tmpl w:val="A860D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844CBE"/>
    <w:multiLevelType w:val="hybridMultilevel"/>
    <w:tmpl w:val="1430BBD2"/>
    <w:lvl w:ilvl="0" w:tplc="110C4D0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7747304"/>
    <w:multiLevelType w:val="hybridMultilevel"/>
    <w:tmpl w:val="1790698C"/>
    <w:lvl w:ilvl="0" w:tplc="110C4D0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5082B70"/>
    <w:multiLevelType w:val="hybridMultilevel"/>
    <w:tmpl w:val="69EE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3E08F6"/>
    <w:multiLevelType w:val="hybridMultilevel"/>
    <w:tmpl w:val="C8A050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F45460"/>
    <w:multiLevelType w:val="hybridMultilevel"/>
    <w:tmpl w:val="7DAED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BAC"/>
    <w:rsid w:val="00026E36"/>
    <w:rsid w:val="000461EF"/>
    <w:rsid w:val="00050B88"/>
    <w:rsid w:val="00066999"/>
    <w:rsid w:val="000724CB"/>
    <w:rsid w:val="00073A58"/>
    <w:rsid w:val="000812A7"/>
    <w:rsid w:val="000815B2"/>
    <w:rsid w:val="00091DF9"/>
    <w:rsid w:val="00093E2B"/>
    <w:rsid w:val="00093F0F"/>
    <w:rsid w:val="000E33A5"/>
    <w:rsid w:val="00144C48"/>
    <w:rsid w:val="0014703E"/>
    <w:rsid w:val="00155AB5"/>
    <w:rsid w:val="00174FAA"/>
    <w:rsid w:val="001758D1"/>
    <w:rsid w:val="00180271"/>
    <w:rsid w:val="001879C6"/>
    <w:rsid w:val="001B68EE"/>
    <w:rsid w:val="001B72CA"/>
    <w:rsid w:val="001C609A"/>
    <w:rsid w:val="001C66B2"/>
    <w:rsid w:val="001C7CDC"/>
    <w:rsid w:val="001F3147"/>
    <w:rsid w:val="001F6DD6"/>
    <w:rsid w:val="002001D5"/>
    <w:rsid w:val="002479DD"/>
    <w:rsid w:val="002630F4"/>
    <w:rsid w:val="00274675"/>
    <w:rsid w:val="002B48C7"/>
    <w:rsid w:val="002B7EC1"/>
    <w:rsid w:val="002C0709"/>
    <w:rsid w:val="002C5772"/>
    <w:rsid w:val="002F3177"/>
    <w:rsid w:val="002F364B"/>
    <w:rsid w:val="002F4AE2"/>
    <w:rsid w:val="0032436C"/>
    <w:rsid w:val="003372AE"/>
    <w:rsid w:val="00337612"/>
    <w:rsid w:val="00341C7A"/>
    <w:rsid w:val="00342C4E"/>
    <w:rsid w:val="00345C32"/>
    <w:rsid w:val="0035279C"/>
    <w:rsid w:val="00360401"/>
    <w:rsid w:val="00370796"/>
    <w:rsid w:val="00382F4E"/>
    <w:rsid w:val="003831C2"/>
    <w:rsid w:val="0039492E"/>
    <w:rsid w:val="00396EF2"/>
    <w:rsid w:val="003B474B"/>
    <w:rsid w:val="003E24A7"/>
    <w:rsid w:val="003E76DD"/>
    <w:rsid w:val="003F192D"/>
    <w:rsid w:val="003F2028"/>
    <w:rsid w:val="003F5F9A"/>
    <w:rsid w:val="00427AC8"/>
    <w:rsid w:val="0045283B"/>
    <w:rsid w:val="00457F1E"/>
    <w:rsid w:val="00470204"/>
    <w:rsid w:val="00470D81"/>
    <w:rsid w:val="004D1F6E"/>
    <w:rsid w:val="004E275B"/>
    <w:rsid w:val="004E4B7E"/>
    <w:rsid w:val="0050568C"/>
    <w:rsid w:val="00523B86"/>
    <w:rsid w:val="00546D11"/>
    <w:rsid w:val="005526E0"/>
    <w:rsid w:val="005570DF"/>
    <w:rsid w:val="0057586C"/>
    <w:rsid w:val="00576DFB"/>
    <w:rsid w:val="00580D1A"/>
    <w:rsid w:val="00581F3C"/>
    <w:rsid w:val="00583926"/>
    <w:rsid w:val="00587F4C"/>
    <w:rsid w:val="005A6077"/>
    <w:rsid w:val="005A6A1C"/>
    <w:rsid w:val="005B3BC9"/>
    <w:rsid w:val="005D78F0"/>
    <w:rsid w:val="0060276B"/>
    <w:rsid w:val="0060622D"/>
    <w:rsid w:val="00615C83"/>
    <w:rsid w:val="0062058F"/>
    <w:rsid w:val="00622501"/>
    <w:rsid w:val="0065635D"/>
    <w:rsid w:val="00660EAD"/>
    <w:rsid w:val="0067389E"/>
    <w:rsid w:val="00674B72"/>
    <w:rsid w:val="00692057"/>
    <w:rsid w:val="00694595"/>
    <w:rsid w:val="0069474B"/>
    <w:rsid w:val="006B3B16"/>
    <w:rsid w:val="006B7E59"/>
    <w:rsid w:val="006C1D4A"/>
    <w:rsid w:val="006C3E43"/>
    <w:rsid w:val="006F5AFB"/>
    <w:rsid w:val="007134B6"/>
    <w:rsid w:val="00724860"/>
    <w:rsid w:val="00760262"/>
    <w:rsid w:val="0078044F"/>
    <w:rsid w:val="00791FD7"/>
    <w:rsid w:val="00794CF8"/>
    <w:rsid w:val="007A36D2"/>
    <w:rsid w:val="007B4CDD"/>
    <w:rsid w:val="007C3E0B"/>
    <w:rsid w:val="007F2F7E"/>
    <w:rsid w:val="007F5431"/>
    <w:rsid w:val="008355FA"/>
    <w:rsid w:val="00835774"/>
    <w:rsid w:val="008430B7"/>
    <w:rsid w:val="008474E6"/>
    <w:rsid w:val="008618B0"/>
    <w:rsid w:val="00864C35"/>
    <w:rsid w:val="00874E90"/>
    <w:rsid w:val="00887D24"/>
    <w:rsid w:val="00893D6B"/>
    <w:rsid w:val="008B16F2"/>
    <w:rsid w:val="008C6D24"/>
    <w:rsid w:val="008D03AA"/>
    <w:rsid w:val="008D6A95"/>
    <w:rsid w:val="00933131"/>
    <w:rsid w:val="00933EC4"/>
    <w:rsid w:val="00943607"/>
    <w:rsid w:val="00967252"/>
    <w:rsid w:val="0097097C"/>
    <w:rsid w:val="00971998"/>
    <w:rsid w:val="0098018B"/>
    <w:rsid w:val="00984A50"/>
    <w:rsid w:val="00986CA3"/>
    <w:rsid w:val="009B3896"/>
    <w:rsid w:val="009C4740"/>
    <w:rsid w:val="009C7EA9"/>
    <w:rsid w:val="009D6A28"/>
    <w:rsid w:val="009F02DB"/>
    <w:rsid w:val="00A11DF8"/>
    <w:rsid w:val="00A36500"/>
    <w:rsid w:val="00A445EA"/>
    <w:rsid w:val="00A844BB"/>
    <w:rsid w:val="00A91C20"/>
    <w:rsid w:val="00AA13BD"/>
    <w:rsid w:val="00AA6EA9"/>
    <w:rsid w:val="00AB70A4"/>
    <w:rsid w:val="00AB7E61"/>
    <w:rsid w:val="00AD02D4"/>
    <w:rsid w:val="00AE3E33"/>
    <w:rsid w:val="00AF43C2"/>
    <w:rsid w:val="00B03D12"/>
    <w:rsid w:val="00B04982"/>
    <w:rsid w:val="00B1613E"/>
    <w:rsid w:val="00B24230"/>
    <w:rsid w:val="00B26C47"/>
    <w:rsid w:val="00B31E00"/>
    <w:rsid w:val="00B371B1"/>
    <w:rsid w:val="00B55AB2"/>
    <w:rsid w:val="00B713D7"/>
    <w:rsid w:val="00B731EA"/>
    <w:rsid w:val="00B73F30"/>
    <w:rsid w:val="00B95C01"/>
    <w:rsid w:val="00B96E9C"/>
    <w:rsid w:val="00BC20B4"/>
    <w:rsid w:val="00BC6E05"/>
    <w:rsid w:val="00BD13EC"/>
    <w:rsid w:val="00BD2A5E"/>
    <w:rsid w:val="00BD5D9B"/>
    <w:rsid w:val="00BF51C1"/>
    <w:rsid w:val="00C02663"/>
    <w:rsid w:val="00C10200"/>
    <w:rsid w:val="00C11D60"/>
    <w:rsid w:val="00C2097F"/>
    <w:rsid w:val="00C27ACE"/>
    <w:rsid w:val="00C307E1"/>
    <w:rsid w:val="00C359B3"/>
    <w:rsid w:val="00C362FF"/>
    <w:rsid w:val="00C5470C"/>
    <w:rsid w:val="00C6151B"/>
    <w:rsid w:val="00C615B1"/>
    <w:rsid w:val="00C84AF9"/>
    <w:rsid w:val="00CB1CCE"/>
    <w:rsid w:val="00CB4CAD"/>
    <w:rsid w:val="00CC4E2F"/>
    <w:rsid w:val="00CD3C6C"/>
    <w:rsid w:val="00CF2B0B"/>
    <w:rsid w:val="00D060C1"/>
    <w:rsid w:val="00D20ED5"/>
    <w:rsid w:val="00D27CE8"/>
    <w:rsid w:val="00D7017C"/>
    <w:rsid w:val="00D8347E"/>
    <w:rsid w:val="00D85FF4"/>
    <w:rsid w:val="00DE6EE0"/>
    <w:rsid w:val="00E030B4"/>
    <w:rsid w:val="00E12D1D"/>
    <w:rsid w:val="00E34008"/>
    <w:rsid w:val="00E62A99"/>
    <w:rsid w:val="00E636F2"/>
    <w:rsid w:val="00E80969"/>
    <w:rsid w:val="00E83F08"/>
    <w:rsid w:val="00EA7C28"/>
    <w:rsid w:val="00EC79AC"/>
    <w:rsid w:val="00EE36A3"/>
    <w:rsid w:val="00F05927"/>
    <w:rsid w:val="00F1285C"/>
    <w:rsid w:val="00F3365B"/>
    <w:rsid w:val="00F33D58"/>
    <w:rsid w:val="00F34516"/>
    <w:rsid w:val="00F565EC"/>
    <w:rsid w:val="00F71B71"/>
    <w:rsid w:val="00F741C2"/>
    <w:rsid w:val="00F84F76"/>
    <w:rsid w:val="00FA6BAC"/>
    <w:rsid w:val="00FB522F"/>
    <w:rsid w:val="00FC2623"/>
    <w:rsid w:val="00FC5ED0"/>
    <w:rsid w:val="00FD2B60"/>
    <w:rsid w:val="00FD5116"/>
    <w:rsid w:val="00FD7D98"/>
    <w:rsid w:val="00FE2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4C12A"/>
  <w15:chartTrackingRefBased/>
  <w15:docId w15:val="{5E579E81-AAC0-46F4-BE9B-B9ACEABE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E2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971998"/>
    <w:rPr>
      <w:rFonts w:eastAsiaTheme="majorEastAsia" w:cstheme="majorBidi"/>
      <w:szCs w:val="20"/>
    </w:rPr>
  </w:style>
  <w:style w:type="paragraph" w:styleId="EnvelopeAddress">
    <w:name w:val="envelope address"/>
    <w:basedOn w:val="Normal"/>
    <w:uiPriority w:val="99"/>
    <w:semiHidden/>
    <w:unhideWhenUsed/>
    <w:rsid w:val="00971998"/>
    <w:pPr>
      <w:framePr w:w="7920" w:h="1980" w:hRule="exact" w:hSpace="180" w:wrap="auto" w:hAnchor="page" w:xAlign="center" w:yAlign="bottom"/>
      <w:ind w:left="2880"/>
    </w:pPr>
    <w:rPr>
      <w:rFonts w:eastAsiaTheme="majorEastAsia" w:cstheme="majorBidi"/>
    </w:rPr>
  </w:style>
  <w:style w:type="paragraph" w:customStyle="1" w:styleId="blockquote">
    <w:name w:val="blockquote"/>
    <w:basedOn w:val="Normal"/>
    <w:autoRedefine/>
    <w:qFormat/>
    <w:rsid w:val="00C5470C"/>
    <w:pPr>
      <w:overflowPunct w:val="0"/>
      <w:autoSpaceDE w:val="0"/>
      <w:autoSpaceDN w:val="0"/>
      <w:adjustRightInd w:val="0"/>
      <w:ind w:left="720" w:right="720" w:firstLine="720"/>
      <w:jc w:val="both"/>
      <w:textAlignment w:val="baseline"/>
    </w:pPr>
    <w:rPr>
      <w:sz w:val="28"/>
      <w:szCs w:val="28"/>
    </w:rPr>
  </w:style>
  <w:style w:type="character" w:styleId="Hyperlink">
    <w:name w:val="Hyperlink"/>
    <w:basedOn w:val="DefaultParagraphFont"/>
    <w:uiPriority w:val="99"/>
    <w:unhideWhenUsed/>
    <w:rsid w:val="00724860"/>
    <w:rPr>
      <w:color w:val="0563C1" w:themeColor="hyperlink"/>
      <w:u w:val="single"/>
    </w:rPr>
  </w:style>
  <w:style w:type="paragraph" w:styleId="FootnoteText">
    <w:name w:val="footnote text"/>
    <w:basedOn w:val="Normal"/>
    <w:link w:val="FootnoteTextChar"/>
    <w:uiPriority w:val="99"/>
    <w:unhideWhenUsed/>
    <w:rsid w:val="00AB70A4"/>
    <w:rPr>
      <w:sz w:val="20"/>
      <w:szCs w:val="20"/>
    </w:rPr>
  </w:style>
  <w:style w:type="character" w:customStyle="1" w:styleId="FootnoteTextChar">
    <w:name w:val="Footnote Text Char"/>
    <w:basedOn w:val="DefaultParagraphFont"/>
    <w:link w:val="FootnoteText"/>
    <w:uiPriority w:val="99"/>
    <w:rsid w:val="00AB70A4"/>
    <w:rPr>
      <w:rFonts w:ascii="Times New Roman" w:hAnsi="Times New Roman"/>
      <w:sz w:val="20"/>
      <w:szCs w:val="20"/>
    </w:rPr>
  </w:style>
  <w:style w:type="character" w:styleId="FootnoteReference">
    <w:name w:val="footnote reference"/>
    <w:basedOn w:val="DefaultParagraphFont"/>
    <w:uiPriority w:val="99"/>
    <w:semiHidden/>
    <w:unhideWhenUsed/>
    <w:rsid w:val="00AB70A4"/>
    <w:rPr>
      <w:vertAlign w:val="superscript"/>
    </w:rPr>
  </w:style>
  <w:style w:type="paragraph" w:styleId="ListParagraph">
    <w:name w:val="List Paragraph"/>
    <w:basedOn w:val="Normal"/>
    <w:uiPriority w:val="34"/>
    <w:qFormat/>
    <w:rsid w:val="002630F4"/>
    <w:pPr>
      <w:ind w:left="720"/>
      <w:contextualSpacing/>
    </w:pPr>
  </w:style>
  <w:style w:type="paragraph" w:styleId="BalloonText">
    <w:name w:val="Balloon Text"/>
    <w:basedOn w:val="Normal"/>
    <w:link w:val="BalloonTextChar"/>
    <w:uiPriority w:val="99"/>
    <w:semiHidden/>
    <w:unhideWhenUsed/>
    <w:rsid w:val="001C6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6B2"/>
    <w:rPr>
      <w:rFonts w:ascii="Segoe UI" w:hAnsi="Segoe UI" w:cs="Segoe UI"/>
      <w:sz w:val="18"/>
      <w:szCs w:val="18"/>
    </w:rPr>
  </w:style>
  <w:style w:type="paragraph" w:styleId="Header">
    <w:name w:val="header"/>
    <w:basedOn w:val="Normal"/>
    <w:link w:val="HeaderChar"/>
    <w:uiPriority w:val="99"/>
    <w:unhideWhenUsed/>
    <w:rsid w:val="00692057"/>
    <w:pPr>
      <w:tabs>
        <w:tab w:val="center" w:pos="4680"/>
        <w:tab w:val="right" w:pos="9360"/>
      </w:tabs>
    </w:pPr>
  </w:style>
  <w:style w:type="character" w:customStyle="1" w:styleId="HeaderChar">
    <w:name w:val="Header Char"/>
    <w:basedOn w:val="DefaultParagraphFont"/>
    <w:link w:val="Header"/>
    <w:uiPriority w:val="99"/>
    <w:rsid w:val="00692057"/>
    <w:rPr>
      <w:rFonts w:ascii="Times New Roman" w:hAnsi="Times New Roman"/>
      <w:sz w:val="24"/>
    </w:rPr>
  </w:style>
  <w:style w:type="paragraph" w:styleId="Footer">
    <w:name w:val="footer"/>
    <w:basedOn w:val="Normal"/>
    <w:link w:val="FooterChar"/>
    <w:uiPriority w:val="99"/>
    <w:unhideWhenUsed/>
    <w:rsid w:val="00692057"/>
    <w:pPr>
      <w:tabs>
        <w:tab w:val="center" w:pos="4680"/>
        <w:tab w:val="right" w:pos="9360"/>
      </w:tabs>
    </w:pPr>
  </w:style>
  <w:style w:type="character" w:customStyle="1" w:styleId="FooterChar">
    <w:name w:val="Footer Char"/>
    <w:basedOn w:val="DefaultParagraphFont"/>
    <w:link w:val="Footer"/>
    <w:uiPriority w:val="99"/>
    <w:rsid w:val="00692057"/>
    <w:rPr>
      <w:rFonts w:ascii="Times New Roman" w:hAnsi="Times New Roman"/>
      <w:sz w:val="24"/>
    </w:rPr>
  </w:style>
  <w:style w:type="character" w:customStyle="1" w:styleId="apple-converted-space">
    <w:name w:val="apple-converted-space"/>
    <w:basedOn w:val="DefaultParagraphFont"/>
    <w:rsid w:val="005A6077"/>
  </w:style>
  <w:style w:type="character" w:styleId="Emphasis">
    <w:name w:val="Emphasis"/>
    <w:basedOn w:val="DefaultParagraphFont"/>
    <w:uiPriority w:val="20"/>
    <w:qFormat/>
    <w:rsid w:val="005A6077"/>
    <w:rPr>
      <w:i/>
      <w:iCs/>
    </w:rPr>
  </w:style>
  <w:style w:type="character" w:customStyle="1" w:styleId="costarpage">
    <w:name w:val="co_starpage"/>
    <w:basedOn w:val="DefaultParagraphFont"/>
    <w:rsid w:val="008355FA"/>
  </w:style>
  <w:style w:type="character" w:styleId="UnresolvedMention">
    <w:name w:val="Unresolved Mention"/>
    <w:basedOn w:val="DefaultParagraphFont"/>
    <w:uiPriority w:val="99"/>
    <w:semiHidden/>
    <w:unhideWhenUsed/>
    <w:rsid w:val="00EA7C28"/>
    <w:rPr>
      <w:color w:val="605E5C"/>
      <w:shd w:val="clear" w:color="auto" w:fill="E1DFDD"/>
    </w:rPr>
  </w:style>
  <w:style w:type="character" w:styleId="FollowedHyperlink">
    <w:name w:val="FollowedHyperlink"/>
    <w:basedOn w:val="DefaultParagraphFont"/>
    <w:uiPriority w:val="99"/>
    <w:semiHidden/>
    <w:unhideWhenUsed/>
    <w:rsid w:val="00370796"/>
    <w:rPr>
      <w:color w:val="954F72" w:themeColor="followedHyperlink"/>
      <w:u w:val="single"/>
    </w:rPr>
  </w:style>
  <w:style w:type="character" w:customStyle="1" w:styleId="cohl">
    <w:name w:val="co_hl"/>
    <w:basedOn w:val="DefaultParagraphFont"/>
    <w:rsid w:val="00E12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0354">
      <w:bodyDiv w:val="1"/>
      <w:marLeft w:val="0"/>
      <w:marRight w:val="0"/>
      <w:marTop w:val="0"/>
      <w:marBottom w:val="0"/>
      <w:divBdr>
        <w:top w:val="none" w:sz="0" w:space="0" w:color="auto"/>
        <w:left w:val="none" w:sz="0" w:space="0" w:color="auto"/>
        <w:bottom w:val="none" w:sz="0" w:space="0" w:color="auto"/>
        <w:right w:val="none" w:sz="0" w:space="0" w:color="auto"/>
      </w:divBdr>
    </w:div>
    <w:div w:id="70273710">
      <w:bodyDiv w:val="1"/>
      <w:marLeft w:val="0"/>
      <w:marRight w:val="0"/>
      <w:marTop w:val="0"/>
      <w:marBottom w:val="0"/>
      <w:divBdr>
        <w:top w:val="none" w:sz="0" w:space="0" w:color="auto"/>
        <w:left w:val="none" w:sz="0" w:space="0" w:color="auto"/>
        <w:bottom w:val="none" w:sz="0" w:space="0" w:color="auto"/>
        <w:right w:val="none" w:sz="0" w:space="0" w:color="auto"/>
      </w:divBdr>
    </w:div>
    <w:div w:id="72433736">
      <w:bodyDiv w:val="1"/>
      <w:marLeft w:val="0"/>
      <w:marRight w:val="0"/>
      <w:marTop w:val="0"/>
      <w:marBottom w:val="0"/>
      <w:divBdr>
        <w:top w:val="none" w:sz="0" w:space="0" w:color="auto"/>
        <w:left w:val="none" w:sz="0" w:space="0" w:color="auto"/>
        <w:bottom w:val="none" w:sz="0" w:space="0" w:color="auto"/>
        <w:right w:val="none" w:sz="0" w:space="0" w:color="auto"/>
      </w:divBdr>
    </w:div>
    <w:div w:id="74086181">
      <w:bodyDiv w:val="1"/>
      <w:marLeft w:val="0"/>
      <w:marRight w:val="0"/>
      <w:marTop w:val="0"/>
      <w:marBottom w:val="0"/>
      <w:divBdr>
        <w:top w:val="none" w:sz="0" w:space="0" w:color="auto"/>
        <w:left w:val="none" w:sz="0" w:space="0" w:color="auto"/>
        <w:bottom w:val="none" w:sz="0" w:space="0" w:color="auto"/>
        <w:right w:val="none" w:sz="0" w:space="0" w:color="auto"/>
      </w:divBdr>
    </w:div>
    <w:div w:id="80807322">
      <w:bodyDiv w:val="1"/>
      <w:marLeft w:val="0"/>
      <w:marRight w:val="0"/>
      <w:marTop w:val="0"/>
      <w:marBottom w:val="0"/>
      <w:divBdr>
        <w:top w:val="none" w:sz="0" w:space="0" w:color="auto"/>
        <w:left w:val="none" w:sz="0" w:space="0" w:color="auto"/>
        <w:bottom w:val="none" w:sz="0" w:space="0" w:color="auto"/>
        <w:right w:val="none" w:sz="0" w:space="0" w:color="auto"/>
      </w:divBdr>
    </w:div>
    <w:div w:id="325133422">
      <w:bodyDiv w:val="1"/>
      <w:marLeft w:val="0"/>
      <w:marRight w:val="0"/>
      <w:marTop w:val="0"/>
      <w:marBottom w:val="0"/>
      <w:divBdr>
        <w:top w:val="none" w:sz="0" w:space="0" w:color="auto"/>
        <w:left w:val="none" w:sz="0" w:space="0" w:color="auto"/>
        <w:bottom w:val="none" w:sz="0" w:space="0" w:color="auto"/>
        <w:right w:val="none" w:sz="0" w:space="0" w:color="auto"/>
      </w:divBdr>
    </w:div>
    <w:div w:id="474297185">
      <w:bodyDiv w:val="1"/>
      <w:marLeft w:val="0"/>
      <w:marRight w:val="0"/>
      <w:marTop w:val="0"/>
      <w:marBottom w:val="0"/>
      <w:divBdr>
        <w:top w:val="none" w:sz="0" w:space="0" w:color="auto"/>
        <w:left w:val="none" w:sz="0" w:space="0" w:color="auto"/>
        <w:bottom w:val="none" w:sz="0" w:space="0" w:color="auto"/>
        <w:right w:val="none" w:sz="0" w:space="0" w:color="auto"/>
      </w:divBdr>
    </w:div>
    <w:div w:id="516387619">
      <w:bodyDiv w:val="1"/>
      <w:marLeft w:val="0"/>
      <w:marRight w:val="0"/>
      <w:marTop w:val="0"/>
      <w:marBottom w:val="0"/>
      <w:divBdr>
        <w:top w:val="none" w:sz="0" w:space="0" w:color="auto"/>
        <w:left w:val="none" w:sz="0" w:space="0" w:color="auto"/>
        <w:bottom w:val="none" w:sz="0" w:space="0" w:color="auto"/>
        <w:right w:val="none" w:sz="0" w:space="0" w:color="auto"/>
      </w:divBdr>
    </w:div>
    <w:div w:id="521406959">
      <w:bodyDiv w:val="1"/>
      <w:marLeft w:val="0"/>
      <w:marRight w:val="0"/>
      <w:marTop w:val="0"/>
      <w:marBottom w:val="0"/>
      <w:divBdr>
        <w:top w:val="none" w:sz="0" w:space="0" w:color="auto"/>
        <w:left w:val="none" w:sz="0" w:space="0" w:color="auto"/>
        <w:bottom w:val="none" w:sz="0" w:space="0" w:color="auto"/>
        <w:right w:val="none" w:sz="0" w:space="0" w:color="auto"/>
      </w:divBdr>
    </w:div>
    <w:div w:id="551692526">
      <w:bodyDiv w:val="1"/>
      <w:marLeft w:val="0"/>
      <w:marRight w:val="0"/>
      <w:marTop w:val="0"/>
      <w:marBottom w:val="0"/>
      <w:divBdr>
        <w:top w:val="none" w:sz="0" w:space="0" w:color="auto"/>
        <w:left w:val="none" w:sz="0" w:space="0" w:color="auto"/>
        <w:bottom w:val="none" w:sz="0" w:space="0" w:color="auto"/>
        <w:right w:val="none" w:sz="0" w:space="0" w:color="auto"/>
      </w:divBdr>
    </w:div>
    <w:div w:id="682820610">
      <w:bodyDiv w:val="1"/>
      <w:marLeft w:val="0"/>
      <w:marRight w:val="0"/>
      <w:marTop w:val="0"/>
      <w:marBottom w:val="0"/>
      <w:divBdr>
        <w:top w:val="none" w:sz="0" w:space="0" w:color="auto"/>
        <w:left w:val="none" w:sz="0" w:space="0" w:color="auto"/>
        <w:bottom w:val="none" w:sz="0" w:space="0" w:color="auto"/>
        <w:right w:val="none" w:sz="0" w:space="0" w:color="auto"/>
      </w:divBdr>
    </w:div>
    <w:div w:id="720252085">
      <w:bodyDiv w:val="1"/>
      <w:marLeft w:val="0"/>
      <w:marRight w:val="0"/>
      <w:marTop w:val="0"/>
      <w:marBottom w:val="0"/>
      <w:divBdr>
        <w:top w:val="none" w:sz="0" w:space="0" w:color="auto"/>
        <w:left w:val="none" w:sz="0" w:space="0" w:color="auto"/>
        <w:bottom w:val="none" w:sz="0" w:space="0" w:color="auto"/>
        <w:right w:val="none" w:sz="0" w:space="0" w:color="auto"/>
      </w:divBdr>
    </w:div>
    <w:div w:id="744113483">
      <w:bodyDiv w:val="1"/>
      <w:marLeft w:val="0"/>
      <w:marRight w:val="0"/>
      <w:marTop w:val="0"/>
      <w:marBottom w:val="0"/>
      <w:divBdr>
        <w:top w:val="none" w:sz="0" w:space="0" w:color="auto"/>
        <w:left w:val="none" w:sz="0" w:space="0" w:color="auto"/>
        <w:bottom w:val="none" w:sz="0" w:space="0" w:color="auto"/>
        <w:right w:val="none" w:sz="0" w:space="0" w:color="auto"/>
      </w:divBdr>
    </w:div>
    <w:div w:id="747967584">
      <w:bodyDiv w:val="1"/>
      <w:marLeft w:val="0"/>
      <w:marRight w:val="0"/>
      <w:marTop w:val="0"/>
      <w:marBottom w:val="0"/>
      <w:divBdr>
        <w:top w:val="none" w:sz="0" w:space="0" w:color="auto"/>
        <w:left w:val="none" w:sz="0" w:space="0" w:color="auto"/>
        <w:bottom w:val="none" w:sz="0" w:space="0" w:color="auto"/>
        <w:right w:val="none" w:sz="0" w:space="0" w:color="auto"/>
      </w:divBdr>
    </w:div>
    <w:div w:id="827130937">
      <w:bodyDiv w:val="1"/>
      <w:marLeft w:val="0"/>
      <w:marRight w:val="0"/>
      <w:marTop w:val="0"/>
      <w:marBottom w:val="0"/>
      <w:divBdr>
        <w:top w:val="none" w:sz="0" w:space="0" w:color="auto"/>
        <w:left w:val="none" w:sz="0" w:space="0" w:color="auto"/>
        <w:bottom w:val="none" w:sz="0" w:space="0" w:color="auto"/>
        <w:right w:val="none" w:sz="0" w:space="0" w:color="auto"/>
      </w:divBdr>
      <w:divsChild>
        <w:div w:id="1150631414">
          <w:marLeft w:val="0"/>
          <w:marRight w:val="0"/>
          <w:marTop w:val="240"/>
          <w:marBottom w:val="0"/>
          <w:divBdr>
            <w:top w:val="none" w:sz="0" w:space="0" w:color="auto"/>
            <w:left w:val="none" w:sz="0" w:space="0" w:color="auto"/>
            <w:bottom w:val="none" w:sz="0" w:space="0" w:color="auto"/>
            <w:right w:val="none" w:sz="0" w:space="0" w:color="auto"/>
          </w:divBdr>
          <w:divsChild>
            <w:div w:id="155727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1263">
      <w:bodyDiv w:val="1"/>
      <w:marLeft w:val="0"/>
      <w:marRight w:val="0"/>
      <w:marTop w:val="0"/>
      <w:marBottom w:val="0"/>
      <w:divBdr>
        <w:top w:val="none" w:sz="0" w:space="0" w:color="auto"/>
        <w:left w:val="none" w:sz="0" w:space="0" w:color="auto"/>
        <w:bottom w:val="none" w:sz="0" w:space="0" w:color="auto"/>
        <w:right w:val="none" w:sz="0" w:space="0" w:color="auto"/>
      </w:divBdr>
    </w:div>
    <w:div w:id="894122497">
      <w:bodyDiv w:val="1"/>
      <w:marLeft w:val="0"/>
      <w:marRight w:val="0"/>
      <w:marTop w:val="0"/>
      <w:marBottom w:val="0"/>
      <w:divBdr>
        <w:top w:val="none" w:sz="0" w:space="0" w:color="auto"/>
        <w:left w:val="none" w:sz="0" w:space="0" w:color="auto"/>
        <w:bottom w:val="none" w:sz="0" w:space="0" w:color="auto"/>
        <w:right w:val="none" w:sz="0" w:space="0" w:color="auto"/>
      </w:divBdr>
    </w:div>
    <w:div w:id="945960102">
      <w:bodyDiv w:val="1"/>
      <w:marLeft w:val="0"/>
      <w:marRight w:val="0"/>
      <w:marTop w:val="0"/>
      <w:marBottom w:val="0"/>
      <w:divBdr>
        <w:top w:val="none" w:sz="0" w:space="0" w:color="auto"/>
        <w:left w:val="none" w:sz="0" w:space="0" w:color="auto"/>
        <w:bottom w:val="none" w:sz="0" w:space="0" w:color="auto"/>
        <w:right w:val="none" w:sz="0" w:space="0" w:color="auto"/>
      </w:divBdr>
    </w:div>
    <w:div w:id="1018002062">
      <w:bodyDiv w:val="1"/>
      <w:marLeft w:val="0"/>
      <w:marRight w:val="0"/>
      <w:marTop w:val="0"/>
      <w:marBottom w:val="0"/>
      <w:divBdr>
        <w:top w:val="none" w:sz="0" w:space="0" w:color="auto"/>
        <w:left w:val="none" w:sz="0" w:space="0" w:color="auto"/>
        <w:bottom w:val="none" w:sz="0" w:space="0" w:color="auto"/>
        <w:right w:val="none" w:sz="0" w:space="0" w:color="auto"/>
      </w:divBdr>
    </w:div>
    <w:div w:id="1052466321">
      <w:bodyDiv w:val="1"/>
      <w:marLeft w:val="0"/>
      <w:marRight w:val="0"/>
      <w:marTop w:val="0"/>
      <w:marBottom w:val="0"/>
      <w:divBdr>
        <w:top w:val="none" w:sz="0" w:space="0" w:color="auto"/>
        <w:left w:val="none" w:sz="0" w:space="0" w:color="auto"/>
        <w:bottom w:val="none" w:sz="0" w:space="0" w:color="auto"/>
        <w:right w:val="none" w:sz="0" w:space="0" w:color="auto"/>
      </w:divBdr>
    </w:div>
    <w:div w:id="1069160031">
      <w:bodyDiv w:val="1"/>
      <w:marLeft w:val="0"/>
      <w:marRight w:val="0"/>
      <w:marTop w:val="0"/>
      <w:marBottom w:val="0"/>
      <w:divBdr>
        <w:top w:val="none" w:sz="0" w:space="0" w:color="auto"/>
        <w:left w:val="none" w:sz="0" w:space="0" w:color="auto"/>
        <w:bottom w:val="none" w:sz="0" w:space="0" w:color="auto"/>
        <w:right w:val="none" w:sz="0" w:space="0" w:color="auto"/>
      </w:divBdr>
    </w:div>
    <w:div w:id="1236083547">
      <w:bodyDiv w:val="1"/>
      <w:marLeft w:val="0"/>
      <w:marRight w:val="0"/>
      <w:marTop w:val="0"/>
      <w:marBottom w:val="0"/>
      <w:divBdr>
        <w:top w:val="none" w:sz="0" w:space="0" w:color="auto"/>
        <w:left w:val="none" w:sz="0" w:space="0" w:color="auto"/>
        <w:bottom w:val="none" w:sz="0" w:space="0" w:color="auto"/>
        <w:right w:val="none" w:sz="0" w:space="0" w:color="auto"/>
      </w:divBdr>
    </w:div>
    <w:div w:id="1268924838">
      <w:bodyDiv w:val="1"/>
      <w:marLeft w:val="0"/>
      <w:marRight w:val="0"/>
      <w:marTop w:val="0"/>
      <w:marBottom w:val="0"/>
      <w:divBdr>
        <w:top w:val="none" w:sz="0" w:space="0" w:color="auto"/>
        <w:left w:val="none" w:sz="0" w:space="0" w:color="auto"/>
        <w:bottom w:val="none" w:sz="0" w:space="0" w:color="auto"/>
        <w:right w:val="none" w:sz="0" w:space="0" w:color="auto"/>
      </w:divBdr>
      <w:divsChild>
        <w:div w:id="399720843">
          <w:marLeft w:val="0"/>
          <w:marRight w:val="0"/>
          <w:marTop w:val="0"/>
          <w:marBottom w:val="0"/>
          <w:divBdr>
            <w:top w:val="none" w:sz="0" w:space="0" w:color="auto"/>
            <w:left w:val="none" w:sz="0" w:space="0" w:color="auto"/>
            <w:bottom w:val="none" w:sz="0" w:space="0" w:color="auto"/>
            <w:right w:val="none" w:sz="0" w:space="0" w:color="auto"/>
          </w:divBdr>
        </w:div>
        <w:div w:id="92212068">
          <w:marLeft w:val="0"/>
          <w:marRight w:val="0"/>
          <w:marTop w:val="0"/>
          <w:marBottom w:val="0"/>
          <w:divBdr>
            <w:top w:val="none" w:sz="0" w:space="0" w:color="auto"/>
            <w:left w:val="none" w:sz="0" w:space="0" w:color="auto"/>
            <w:bottom w:val="none" w:sz="0" w:space="0" w:color="auto"/>
            <w:right w:val="none" w:sz="0" w:space="0" w:color="auto"/>
          </w:divBdr>
        </w:div>
        <w:div w:id="47607463">
          <w:marLeft w:val="0"/>
          <w:marRight w:val="0"/>
          <w:marTop w:val="0"/>
          <w:marBottom w:val="0"/>
          <w:divBdr>
            <w:top w:val="none" w:sz="0" w:space="0" w:color="auto"/>
            <w:left w:val="none" w:sz="0" w:space="0" w:color="auto"/>
            <w:bottom w:val="none" w:sz="0" w:space="0" w:color="auto"/>
            <w:right w:val="none" w:sz="0" w:space="0" w:color="auto"/>
          </w:divBdr>
        </w:div>
        <w:div w:id="825124173">
          <w:marLeft w:val="0"/>
          <w:marRight w:val="0"/>
          <w:marTop w:val="0"/>
          <w:marBottom w:val="0"/>
          <w:divBdr>
            <w:top w:val="none" w:sz="0" w:space="0" w:color="auto"/>
            <w:left w:val="none" w:sz="0" w:space="0" w:color="auto"/>
            <w:bottom w:val="none" w:sz="0" w:space="0" w:color="auto"/>
            <w:right w:val="none" w:sz="0" w:space="0" w:color="auto"/>
          </w:divBdr>
        </w:div>
        <w:div w:id="1804346017">
          <w:marLeft w:val="0"/>
          <w:marRight w:val="0"/>
          <w:marTop w:val="0"/>
          <w:marBottom w:val="0"/>
          <w:divBdr>
            <w:top w:val="none" w:sz="0" w:space="0" w:color="auto"/>
            <w:left w:val="none" w:sz="0" w:space="0" w:color="auto"/>
            <w:bottom w:val="none" w:sz="0" w:space="0" w:color="auto"/>
            <w:right w:val="none" w:sz="0" w:space="0" w:color="auto"/>
          </w:divBdr>
        </w:div>
        <w:div w:id="487946407">
          <w:marLeft w:val="0"/>
          <w:marRight w:val="0"/>
          <w:marTop w:val="0"/>
          <w:marBottom w:val="0"/>
          <w:divBdr>
            <w:top w:val="none" w:sz="0" w:space="0" w:color="auto"/>
            <w:left w:val="none" w:sz="0" w:space="0" w:color="auto"/>
            <w:bottom w:val="none" w:sz="0" w:space="0" w:color="auto"/>
            <w:right w:val="none" w:sz="0" w:space="0" w:color="auto"/>
          </w:divBdr>
        </w:div>
        <w:div w:id="1034312868">
          <w:marLeft w:val="0"/>
          <w:marRight w:val="0"/>
          <w:marTop w:val="0"/>
          <w:marBottom w:val="0"/>
          <w:divBdr>
            <w:top w:val="none" w:sz="0" w:space="0" w:color="auto"/>
            <w:left w:val="none" w:sz="0" w:space="0" w:color="auto"/>
            <w:bottom w:val="none" w:sz="0" w:space="0" w:color="auto"/>
            <w:right w:val="none" w:sz="0" w:space="0" w:color="auto"/>
          </w:divBdr>
        </w:div>
        <w:div w:id="433595114">
          <w:marLeft w:val="0"/>
          <w:marRight w:val="0"/>
          <w:marTop w:val="0"/>
          <w:marBottom w:val="0"/>
          <w:divBdr>
            <w:top w:val="none" w:sz="0" w:space="0" w:color="auto"/>
            <w:left w:val="none" w:sz="0" w:space="0" w:color="auto"/>
            <w:bottom w:val="none" w:sz="0" w:space="0" w:color="auto"/>
            <w:right w:val="none" w:sz="0" w:space="0" w:color="auto"/>
          </w:divBdr>
        </w:div>
        <w:div w:id="98647710">
          <w:marLeft w:val="0"/>
          <w:marRight w:val="0"/>
          <w:marTop w:val="0"/>
          <w:marBottom w:val="0"/>
          <w:divBdr>
            <w:top w:val="none" w:sz="0" w:space="0" w:color="auto"/>
            <w:left w:val="none" w:sz="0" w:space="0" w:color="auto"/>
            <w:bottom w:val="none" w:sz="0" w:space="0" w:color="auto"/>
            <w:right w:val="none" w:sz="0" w:space="0" w:color="auto"/>
          </w:divBdr>
        </w:div>
      </w:divsChild>
    </w:div>
    <w:div w:id="1322586551">
      <w:bodyDiv w:val="1"/>
      <w:marLeft w:val="0"/>
      <w:marRight w:val="0"/>
      <w:marTop w:val="0"/>
      <w:marBottom w:val="0"/>
      <w:divBdr>
        <w:top w:val="none" w:sz="0" w:space="0" w:color="auto"/>
        <w:left w:val="none" w:sz="0" w:space="0" w:color="auto"/>
        <w:bottom w:val="none" w:sz="0" w:space="0" w:color="auto"/>
        <w:right w:val="none" w:sz="0" w:space="0" w:color="auto"/>
      </w:divBdr>
    </w:div>
    <w:div w:id="1352100123">
      <w:bodyDiv w:val="1"/>
      <w:marLeft w:val="0"/>
      <w:marRight w:val="0"/>
      <w:marTop w:val="0"/>
      <w:marBottom w:val="0"/>
      <w:divBdr>
        <w:top w:val="none" w:sz="0" w:space="0" w:color="auto"/>
        <w:left w:val="none" w:sz="0" w:space="0" w:color="auto"/>
        <w:bottom w:val="none" w:sz="0" w:space="0" w:color="auto"/>
        <w:right w:val="none" w:sz="0" w:space="0" w:color="auto"/>
      </w:divBdr>
    </w:div>
    <w:div w:id="1355962163">
      <w:bodyDiv w:val="1"/>
      <w:marLeft w:val="0"/>
      <w:marRight w:val="0"/>
      <w:marTop w:val="0"/>
      <w:marBottom w:val="0"/>
      <w:divBdr>
        <w:top w:val="none" w:sz="0" w:space="0" w:color="auto"/>
        <w:left w:val="none" w:sz="0" w:space="0" w:color="auto"/>
        <w:bottom w:val="none" w:sz="0" w:space="0" w:color="auto"/>
        <w:right w:val="none" w:sz="0" w:space="0" w:color="auto"/>
      </w:divBdr>
    </w:div>
    <w:div w:id="1468089622">
      <w:bodyDiv w:val="1"/>
      <w:marLeft w:val="0"/>
      <w:marRight w:val="0"/>
      <w:marTop w:val="0"/>
      <w:marBottom w:val="0"/>
      <w:divBdr>
        <w:top w:val="none" w:sz="0" w:space="0" w:color="auto"/>
        <w:left w:val="none" w:sz="0" w:space="0" w:color="auto"/>
        <w:bottom w:val="none" w:sz="0" w:space="0" w:color="auto"/>
        <w:right w:val="none" w:sz="0" w:space="0" w:color="auto"/>
      </w:divBdr>
    </w:div>
    <w:div w:id="1607423680">
      <w:bodyDiv w:val="1"/>
      <w:marLeft w:val="0"/>
      <w:marRight w:val="0"/>
      <w:marTop w:val="0"/>
      <w:marBottom w:val="0"/>
      <w:divBdr>
        <w:top w:val="none" w:sz="0" w:space="0" w:color="auto"/>
        <w:left w:val="none" w:sz="0" w:space="0" w:color="auto"/>
        <w:bottom w:val="none" w:sz="0" w:space="0" w:color="auto"/>
        <w:right w:val="none" w:sz="0" w:space="0" w:color="auto"/>
      </w:divBdr>
    </w:div>
    <w:div w:id="1722316886">
      <w:bodyDiv w:val="1"/>
      <w:marLeft w:val="0"/>
      <w:marRight w:val="0"/>
      <w:marTop w:val="0"/>
      <w:marBottom w:val="0"/>
      <w:divBdr>
        <w:top w:val="none" w:sz="0" w:space="0" w:color="auto"/>
        <w:left w:val="none" w:sz="0" w:space="0" w:color="auto"/>
        <w:bottom w:val="none" w:sz="0" w:space="0" w:color="auto"/>
        <w:right w:val="none" w:sz="0" w:space="0" w:color="auto"/>
      </w:divBdr>
    </w:div>
    <w:div w:id="1745688346">
      <w:bodyDiv w:val="1"/>
      <w:marLeft w:val="0"/>
      <w:marRight w:val="0"/>
      <w:marTop w:val="0"/>
      <w:marBottom w:val="0"/>
      <w:divBdr>
        <w:top w:val="none" w:sz="0" w:space="0" w:color="auto"/>
        <w:left w:val="none" w:sz="0" w:space="0" w:color="auto"/>
        <w:bottom w:val="none" w:sz="0" w:space="0" w:color="auto"/>
        <w:right w:val="none" w:sz="0" w:space="0" w:color="auto"/>
      </w:divBdr>
    </w:div>
    <w:div w:id="1783719968">
      <w:bodyDiv w:val="1"/>
      <w:marLeft w:val="0"/>
      <w:marRight w:val="0"/>
      <w:marTop w:val="0"/>
      <w:marBottom w:val="0"/>
      <w:divBdr>
        <w:top w:val="none" w:sz="0" w:space="0" w:color="auto"/>
        <w:left w:val="none" w:sz="0" w:space="0" w:color="auto"/>
        <w:bottom w:val="none" w:sz="0" w:space="0" w:color="auto"/>
        <w:right w:val="none" w:sz="0" w:space="0" w:color="auto"/>
      </w:divBdr>
    </w:div>
    <w:div w:id="1799713572">
      <w:bodyDiv w:val="1"/>
      <w:marLeft w:val="0"/>
      <w:marRight w:val="0"/>
      <w:marTop w:val="0"/>
      <w:marBottom w:val="0"/>
      <w:divBdr>
        <w:top w:val="none" w:sz="0" w:space="0" w:color="auto"/>
        <w:left w:val="none" w:sz="0" w:space="0" w:color="auto"/>
        <w:bottom w:val="none" w:sz="0" w:space="0" w:color="auto"/>
        <w:right w:val="none" w:sz="0" w:space="0" w:color="auto"/>
      </w:divBdr>
    </w:div>
    <w:div w:id="1920600113">
      <w:bodyDiv w:val="1"/>
      <w:marLeft w:val="0"/>
      <w:marRight w:val="0"/>
      <w:marTop w:val="0"/>
      <w:marBottom w:val="0"/>
      <w:divBdr>
        <w:top w:val="none" w:sz="0" w:space="0" w:color="auto"/>
        <w:left w:val="none" w:sz="0" w:space="0" w:color="auto"/>
        <w:bottom w:val="none" w:sz="0" w:space="0" w:color="auto"/>
        <w:right w:val="none" w:sz="0" w:space="0" w:color="auto"/>
      </w:divBdr>
    </w:div>
    <w:div w:id="213706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D65BC-2E02-0E49-80B3-EC2A2F808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4903</Words>
  <Characters>27949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Miles</dc:creator>
  <cp:keywords/>
  <dc:description/>
  <cp:lastModifiedBy>Michael Price</cp:lastModifiedBy>
  <cp:revision>3</cp:revision>
  <dcterms:created xsi:type="dcterms:W3CDTF">2020-04-13T20:56:00Z</dcterms:created>
  <dcterms:modified xsi:type="dcterms:W3CDTF">2020-04-13T20:59:00Z</dcterms:modified>
</cp:coreProperties>
</file>