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A49D0" w14:textId="77777777" w:rsidR="00CE2B5F" w:rsidRPr="00814C24" w:rsidRDefault="00CE2B5F" w:rsidP="00CE2B5F">
      <w:pPr>
        <w:pStyle w:val="NoSpacing"/>
        <w:spacing w:line="480" w:lineRule="auto"/>
        <w:jc w:val="center"/>
        <w:rPr>
          <w:b/>
          <w:sz w:val="24"/>
          <w:szCs w:val="24"/>
          <w:u w:val="single"/>
        </w:rPr>
      </w:pPr>
      <w:r w:rsidRPr="00814C24">
        <w:rPr>
          <w:b/>
          <w:sz w:val="24"/>
          <w:szCs w:val="24"/>
          <w:u w:val="single"/>
        </w:rPr>
        <w:t>Introduction</w:t>
      </w:r>
    </w:p>
    <w:p w14:paraId="48509906" w14:textId="643CCD6B" w:rsidR="00D209D9" w:rsidRPr="00814C24" w:rsidRDefault="00CE2B5F" w:rsidP="00CE2B5F">
      <w:pPr>
        <w:pStyle w:val="NoSpacing"/>
        <w:spacing w:line="480" w:lineRule="auto"/>
        <w:rPr>
          <w:sz w:val="24"/>
          <w:szCs w:val="24"/>
        </w:rPr>
      </w:pPr>
      <w:r w:rsidRPr="00814C24">
        <w:rPr>
          <w:sz w:val="24"/>
          <w:szCs w:val="24"/>
        </w:rPr>
        <w:tab/>
        <w:t xml:space="preserve">Defendant moves the Court for a bail hearing and an order granting his release.  </w:t>
      </w:r>
      <w:r w:rsidR="001E0F09" w:rsidRPr="00814C24">
        <w:rPr>
          <w:sz w:val="24"/>
          <w:szCs w:val="24"/>
          <w:highlight w:val="yellow"/>
        </w:rPr>
        <w:t>[CLIENT]</w:t>
      </w:r>
      <w:r w:rsidR="00D209D9" w:rsidRPr="00814C24">
        <w:rPr>
          <w:sz w:val="24"/>
          <w:szCs w:val="24"/>
        </w:rPr>
        <w:t xml:space="preserve"> </w:t>
      </w:r>
      <w:r w:rsidRPr="00814C24">
        <w:rPr>
          <w:sz w:val="24"/>
          <w:szCs w:val="24"/>
        </w:rPr>
        <w:t xml:space="preserve">is a currently </w:t>
      </w:r>
      <w:r w:rsidR="00D209D9" w:rsidRPr="00814C24">
        <w:rPr>
          <w:sz w:val="24"/>
          <w:szCs w:val="24"/>
        </w:rPr>
        <w:t xml:space="preserve">a pretrial defendant </w:t>
      </w:r>
      <w:r w:rsidRPr="00814C24">
        <w:rPr>
          <w:sz w:val="24"/>
          <w:szCs w:val="24"/>
        </w:rPr>
        <w:t xml:space="preserve">detained at the </w:t>
      </w:r>
      <w:r w:rsidR="001E0F09" w:rsidRPr="00814C24">
        <w:rPr>
          <w:sz w:val="24"/>
          <w:szCs w:val="24"/>
          <w:highlight w:val="yellow"/>
        </w:rPr>
        <w:t>[DETENTION FACILITY]</w:t>
      </w:r>
      <w:r w:rsidR="00D209D9" w:rsidRPr="00814C24">
        <w:rPr>
          <w:sz w:val="24"/>
          <w:szCs w:val="24"/>
        </w:rPr>
        <w:t xml:space="preserve">, where there are now </w:t>
      </w:r>
      <w:r w:rsidR="00D209D9" w:rsidRPr="00814C24">
        <w:rPr>
          <w:sz w:val="24"/>
          <w:szCs w:val="24"/>
          <w:highlight w:val="yellow"/>
        </w:rPr>
        <w:t>[XX]</w:t>
      </w:r>
      <w:r w:rsidR="00D209D9" w:rsidRPr="00814C24">
        <w:rPr>
          <w:sz w:val="24"/>
          <w:szCs w:val="24"/>
        </w:rPr>
        <w:t xml:space="preserve"> confirmed cases of  COVID-19, a </w:t>
      </w:r>
      <w:r w:rsidR="00E5328B" w:rsidRPr="00814C24">
        <w:rPr>
          <w:sz w:val="24"/>
          <w:szCs w:val="24"/>
        </w:rPr>
        <w:t xml:space="preserve">dangerous virus </w:t>
      </w:r>
      <w:r w:rsidR="00D209D9" w:rsidRPr="00814C24">
        <w:rPr>
          <w:sz w:val="24"/>
          <w:szCs w:val="24"/>
        </w:rPr>
        <w:t xml:space="preserve">spreading rapidly across the world and through </w:t>
      </w:r>
      <w:r w:rsidR="00D209D9" w:rsidRPr="00814C24">
        <w:rPr>
          <w:sz w:val="24"/>
          <w:szCs w:val="24"/>
          <w:highlight w:val="yellow"/>
        </w:rPr>
        <w:t>[CITY/STATE]</w:t>
      </w:r>
      <w:r w:rsidR="00D209D9" w:rsidRPr="00814C24">
        <w:rPr>
          <w:sz w:val="24"/>
          <w:szCs w:val="24"/>
        </w:rPr>
        <w:t xml:space="preserve">. Continued detention puts </w:t>
      </w:r>
      <w:r w:rsidR="00D209D9" w:rsidRPr="00814C24">
        <w:rPr>
          <w:sz w:val="24"/>
          <w:szCs w:val="24"/>
          <w:highlight w:val="yellow"/>
        </w:rPr>
        <w:t>[CLIENT]</w:t>
      </w:r>
      <w:r w:rsidR="00D209D9" w:rsidRPr="00814C24">
        <w:rPr>
          <w:sz w:val="24"/>
          <w:szCs w:val="24"/>
        </w:rPr>
        <w:t xml:space="preserve"> at heightened risk o</w:t>
      </w:r>
      <w:r w:rsidR="00F0020D">
        <w:rPr>
          <w:sz w:val="24"/>
          <w:szCs w:val="24"/>
        </w:rPr>
        <w:t>f</w:t>
      </w:r>
      <w:r w:rsidR="00D209D9" w:rsidRPr="00814C24">
        <w:rPr>
          <w:sz w:val="24"/>
          <w:szCs w:val="24"/>
        </w:rPr>
        <w:t xml:space="preserve"> contracting the virus due to the conditions of confinement at </w:t>
      </w:r>
      <w:r w:rsidR="00D209D9" w:rsidRPr="00814C24">
        <w:rPr>
          <w:sz w:val="24"/>
          <w:szCs w:val="24"/>
          <w:highlight w:val="yellow"/>
        </w:rPr>
        <w:t>[DETENTION FACILITY]</w:t>
      </w:r>
      <w:r w:rsidR="00D209D9" w:rsidRPr="00814C24">
        <w:rPr>
          <w:sz w:val="24"/>
          <w:szCs w:val="24"/>
        </w:rPr>
        <w:t>.</w:t>
      </w:r>
    </w:p>
    <w:p w14:paraId="6C44A7D5" w14:textId="77777777" w:rsidR="0047697D" w:rsidRPr="00814C24" w:rsidRDefault="00A52ACC" w:rsidP="00AB023E">
      <w:pPr>
        <w:pStyle w:val="NoSpacing"/>
        <w:spacing w:line="480" w:lineRule="auto"/>
        <w:ind w:firstLine="720"/>
        <w:rPr>
          <w:sz w:val="24"/>
          <w:szCs w:val="24"/>
        </w:rPr>
      </w:pPr>
      <w:r w:rsidRPr="00814C24">
        <w:rPr>
          <w:sz w:val="24"/>
          <w:szCs w:val="24"/>
        </w:rPr>
        <w:t xml:space="preserve">FEDERAL: </w:t>
      </w:r>
      <w:r w:rsidR="00CE2B5F" w:rsidRPr="00814C24">
        <w:rPr>
          <w:sz w:val="24"/>
          <w:szCs w:val="24"/>
          <w:highlight w:val="yellow"/>
        </w:rPr>
        <w:t>The Bail Reform Act provides for the “temporary release” of a person in pretrial custody “to the extent that the judicial officer determines such release to be necessary for preparation of the person’s defense or for another compelling reason.”  18 U.S.C. § 3142(</w:t>
      </w:r>
      <w:proofErr w:type="spellStart"/>
      <w:r w:rsidR="00CE2B5F" w:rsidRPr="00814C24">
        <w:rPr>
          <w:sz w:val="24"/>
          <w:szCs w:val="24"/>
          <w:highlight w:val="yellow"/>
        </w:rPr>
        <w:t>i</w:t>
      </w:r>
      <w:proofErr w:type="spellEnd"/>
      <w:r w:rsidR="00CE2B5F" w:rsidRPr="00814C24">
        <w:rPr>
          <w:sz w:val="24"/>
          <w:szCs w:val="24"/>
          <w:highlight w:val="yellow"/>
        </w:rPr>
        <w:t>).</w:t>
      </w:r>
      <w:r w:rsidR="00AB023E" w:rsidRPr="00814C24">
        <w:rPr>
          <w:sz w:val="24"/>
          <w:szCs w:val="24"/>
        </w:rPr>
        <w:t xml:space="preserve"> </w:t>
      </w:r>
    </w:p>
    <w:p w14:paraId="09404F1D" w14:textId="3C4CE046" w:rsidR="00A52ACC" w:rsidRPr="00814C24" w:rsidRDefault="001E0F09" w:rsidP="00AB023E">
      <w:pPr>
        <w:pStyle w:val="NoSpacing"/>
        <w:spacing w:line="480" w:lineRule="auto"/>
        <w:ind w:firstLine="720"/>
        <w:rPr>
          <w:sz w:val="24"/>
          <w:szCs w:val="24"/>
        </w:rPr>
      </w:pPr>
      <w:r w:rsidRPr="00814C24">
        <w:rPr>
          <w:sz w:val="24"/>
          <w:szCs w:val="24"/>
          <w:highlight w:val="yellow"/>
        </w:rPr>
        <w:t>[STATE PRACTITIONERS: insert relevant provisions of state statues including provisions calling for considerations of a person’s medical needs in setting bail]</w:t>
      </w:r>
      <w:r w:rsidR="00CE2B5F" w:rsidRPr="00814C24">
        <w:rPr>
          <w:sz w:val="24"/>
          <w:szCs w:val="24"/>
        </w:rPr>
        <w:t xml:space="preserve"> </w:t>
      </w:r>
    </w:p>
    <w:p w14:paraId="1EC5D298" w14:textId="46AD5800" w:rsidR="00CC6EEA" w:rsidRPr="00814C24" w:rsidRDefault="00CE2B5F" w:rsidP="00CD0F4C">
      <w:pPr>
        <w:pStyle w:val="NoSpacing"/>
        <w:spacing w:line="480" w:lineRule="auto"/>
        <w:ind w:firstLine="720"/>
        <w:rPr>
          <w:sz w:val="24"/>
          <w:szCs w:val="24"/>
        </w:rPr>
      </w:pPr>
      <w:r w:rsidRPr="00814C24">
        <w:rPr>
          <w:sz w:val="24"/>
          <w:szCs w:val="24"/>
        </w:rPr>
        <w:t xml:space="preserve">The health risk to </w:t>
      </w:r>
      <w:r w:rsidR="001E0F09" w:rsidRPr="00814C24">
        <w:rPr>
          <w:sz w:val="24"/>
          <w:szCs w:val="24"/>
          <w:highlight w:val="yellow"/>
        </w:rPr>
        <w:t>[CLIENT]</w:t>
      </w:r>
      <w:r w:rsidRPr="00814C24">
        <w:rPr>
          <w:sz w:val="24"/>
          <w:szCs w:val="24"/>
          <w:highlight w:val="yellow"/>
        </w:rPr>
        <w:t>,</w:t>
      </w:r>
      <w:r w:rsidRPr="00814C24">
        <w:rPr>
          <w:sz w:val="24"/>
          <w:szCs w:val="24"/>
        </w:rPr>
        <w:t xml:space="preserve"> </w:t>
      </w:r>
      <w:r w:rsidR="00D6651D" w:rsidRPr="00814C24">
        <w:rPr>
          <w:sz w:val="24"/>
          <w:szCs w:val="24"/>
        </w:rPr>
        <w:t xml:space="preserve">is heightened </w:t>
      </w:r>
      <w:r w:rsidRPr="00814C24">
        <w:rPr>
          <w:sz w:val="24"/>
          <w:szCs w:val="24"/>
        </w:rPr>
        <w:t>because of</w:t>
      </w:r>
      <w:r w:rsidR="00D6651D" w:rsidRPr="00814C24">
        <w:rPr>
          <w:sz w:val="24"/>
          <w:szCs w:val="24"/>
        </w:rPr>
        <w:t xml:space="preserve"> </w:t>
      </w:r>
      <w:r w:rsidRPr="00814C24">
        <w:rPr>
          <w:sz w:val="24"/>
          <w:szCs w:val="24"/>
        </w:rPr>
        <w:t>the conditions at the</w:t>
      </w:r>
      <w:r w:rsidR="00E5328B" w:rsidRPr="00814C24">
        <w:rPr>
          <w:sz w:val="24"/>
          <w:szCs w:val="24"/>
        </w:rPr>
        <w:t xml:space="preserve"> </w:t>
      </w:r>
      <w:r w:rsidR="0018194B" w:rsidRPr="00814C24">
        <w:rPr>
          <w:sz w:val="24"/>
          <w:szCs w:val="24"/>
          <w:highlight w:val="yellow"/>
        </w:rPr>
        <w:t>[DETENTION FACILITY]</w:t>
      </w:r>
      <w:r w:rsidRPr="00814C24">
        <w:rPr>
          <w:sz w:val="24"/>
          <w:szCs w:val="24"/>
        </w:rPr>
        <w:t xml:space="preserve"> as described in detail below, </w:t>
      </w:r>
      <w:r w:rsidR="00F0020D">
        <w:rPr>
          <w:sz w:val="24"/>
          <w:szCs w:val="24"/>
        </w:rPr>
        <w:t xml:space="preserve">which </w:t>
      </w:r>
      <w:r w:rsidRPr="00814C24">
        <w:rPr>
          <w:sz w:val="24"/>
          <w:szCs w:val="24"/>
        </w:rPr>
        <w:t>necessitates</w:t>
      </w:r>
      <w:r w:rsidR="007B62CB" w:rsidRPr="00814C24">
        <w:rPr>
          <w:sz w:val="24"/>
          <w:szCs w:val="24"/>
        </w:rPr>
        <w:t xml:space="preserve"> temporary</w:t>
      </w:r>
      <w:r w:rsidRPr="00814C24">
        <w:rPr>
          <w:sz w:val="24"/>
          <w:szCs w:val="24"/>
        </w:rPr>
        <w:t xml:space="preserve"> release on bail until this pandemic has ended</w:t>
      </w:r>
      <w:r w:rsidR="0097796C">
        <w:rPr>
          <w:sz w:val="24"/>
          <w:szCs w:val="24"/>
        </w:rPr>
        <w:t xml:space="preserve">. </w:t>
      </w:r>
      <w:r w:rsidR="0097796C" w:rsidRPr="0097796C">
        <w:rPr>
          <w:sz w:val="24"/>
          <w:szCs w:val="24"/>
          <w:highlight w:val="yellow"/>
        </w:rPr>
        <w:t>[</w:t>
      </w:r>
      <w:proofErr w:type="gramStart"/>
      <w:r w:rsidR="0097796C">
        <w:rPr>
          <w:sz w:val="24"/>
          <w:szCs w:val="24"/>
          <w:highlight w:val="yellow"/>
        </w:rPr>
        <w:t>Plus</w:t>
      </w:r>
      <w:proofErr w:type="gramEnd"/>
      <w:r w:rsidR="0097796C">
        <w:rPr>
          <w:sz w:val="24"/>
          <w:szCs w:val="24"/>
          <w:highlight w:val="yellow"/>
        </w:rPr>
        <w:t xml:space="preserve"> any other general</w:t>
      </w:r>
      <w:r w:rsidR="009335E4" w:rsidRPr="0097796C">
        <w:rPr>
          <w:sz w:val="24"/>
          <w:szCs w:val="24"/>
          <w:highlight w:val="yellow"/>
        </w:rPr>
        <w:t xml:space="preserve"> bail arguments]</w:t>
      </w:r>
      <w:r w:rsidR="009335E4">
        <w:rPr>
          <w:sz w:val="24"/>
          <w:szCs w:val="24"/>
        </w:rPr>
        <w:t xml:space="preserve">. </w:t>
      </w:r>
      <w:r w:rsidR="00A751CC">
        <w:rPr>
          <w:sz w:val="24"/>
          <w:szCs w:val="24"/>
        </w:rPr>
        <w:t>C</w:t>
      </w:r>
      <w:r w:rsidR="00A751CC" w:rsidRPr="00814C24">
        <w:rPr>
          <w:sz w:val="24"/>
          <w:szCs w:val="24"/>
        </w:rPr>
        <w:t xml:space="preserve">ontinued detention during this deadly pandemic would not only harm public safety, but also violate </w:t>
      </w:r>
      <w:r w:rsidR="00A751CC" w:rsidRPr="00814C24">
        <w:rPr>
          <w:sz w:val="24"/>
          <w:szCs w:val="24"/>
          <w:highlight w:val="yellow"/>
        </w:rPr>
        <w:t>[CLIENT’s]</w:t>
      </w:r>
      <w:r w:rsidR="00A751CC" w:rsidRPr="00814C24">
        <w:rPr>
          <w:sz w:val="24"/>
          <w:szCs w:val="24"/>
        </w:rPr>
        <w:t xml:space="preserve"> </w:t>
      </w:r>
      <w:r w:rsidR="00A751CC">
        <w:rPr>
          <w:sz w:val="24"/>
          <w:szCs w:val="24"/>
        </w:rPr>
        <w:t>the Due Process Clause of the Fifth Amendment as well as the Eighth Amendment prohibition on cruel and unusual punishment</w:t>
      </w:r>
      <w:r w:rsidR="0038763B">
        <w:rPr>
          <w:sz w:val="24"/>
          <w:szCs w:val="24"/>
        </w:rPr>
        <w:t xml:space="preserve"> and the Sixth Amendment right to counsel</w:t>
      </w:r>
      <w:r w:rsidR="00A751CC">
        <w:rPr>
          <w:sz w:val="24"/>
          <w:szCs w:val="24"/>
        </w:rPr>
        <w:t xml:space="preserve">. Furthermore, continued detention violates </w:t>
      </w:r>
      <w:r w:rsidR="00A751CC" w:rsidRPr="00814C24">
        <w:rPr>
          <w:sz w:val="24"/>
          <w:szCs w:val="24"/>
          <w:highlight w:val="yellow"/>
        </w:rPr>
        <w:t>[CLIENT’s]</w:t>
      </w:r>
      <w:r w:rsidR="00A751CC" w:rsidRPr="00814C24">
        <w:rPr>
          <w:sz w:val="24"/>
          <w:szCs w:val="24"/>
        </w:rPr>
        <w:t xml:space="preserve"> basic human rights, including the prohibition on cruel, inhuman, and degrading treatment guaranteed by Convention Against Torture (CAT) and the International Covenant on Civil and Political Rights (ICCPR).</w:t>
      </w:r>
    </w:p>
    <w:p w14:paraId="1B3E9ABD" w14:textId="5A5747FB" w:rsidR="00CE2B5F" w:rsidRDefault="0018194B" w:rsidP="00A52ACC">
      <w:pPr>
        <w:pStyle w:val="NoSpacing"/>
        <w:spacing w:line="480" w:lineRule="auto"/>
        <w:ind w:firstLine="720"/>
        <w:rPr>
          <w:bCs/>
          <w:sz w:val="24"/>
          <w:szCs w:val="24"/>
        </w:rPr>
      </w:pPr>
      <w:r w:rsidRPr="00814C24">
        <w:rPr>
          <w:sz w:val="24"/>
          <w:szCs w:val="24"/>
        </w:rPr>
        <w:t xml:space="preserve">During the period of release </w:t>
      </w:r>
      <w:r w:rsidRPr="00814C24">
        <w:rPr>
          <w:sz w:val="24"/>
          <w:szCs w:val="24"/>
          <w:highlight w:val="yellow"/>
        </w:rPr>
        <w:t>[CLIENT]</w:t>
      </w:r>
      <w:r w:rsidRPr="00814C24">
        <w:rPr>
          <w:sz w:val="24"/>
          <w:szCs w:val="24"/>
        </w:rPr>
        <w:t xml:space="preserve"> will</w:t>
      </w:r>
      <w:r w:rsidR="00CE2B5F" w:rsidRPr="00814C24">
        <w:rPr>
          <w:sz w:val="24"/>
          <w:szCs w:val="24"/>
        </w:rPr>
        <w:t xml:space="preserve"> </w:t>
      </w:r>
      <w:r w:rsidR="0097795C" w:rsidRPr="00814C24">
        <w:rPr>
          <w:bCs/>
          <w:sz w:val="24"/>
          <w:szCs w:val="24"/>
          <w:highlight w:val="yellow"/>
        </w:rPr>
        <w:t>[Explain</w:t>
      </w:r>
      <w:r w:rsidR="00A52ACC" w:rsidRPr="00814C24">
        <w:rPr>
          <w:bCs/>
          <w:sz w:val="24"/>
          <w:szCs w:val="24"/>
          <w:highlight w:val="yellow"/>
        </w:rPr>
        <w:t xml:space="preserve"> </w:t>
      </w:r>
      <w:r w:rsidR="00CE2B5F" w:rsidRPr="00814C24">
        <w:rPr>
          <w:bCs/>
          <w:sz w:val="24"/>
          <w:szCs w:val="24"/>
          <w:highlight w:val="yellow"/>
        </w:rPr>
        <w:t>where</w:t>
      </w:r>
      <w:r w:rsidR="0097795C" w:rsidRPr="00814C24">
        <w:rPr>
          <w:bCs/>
          <w:sz w:val="24"/>
          <w:szCs w:val="24"/>
          <w:highlight w:val="yellow"/>
        </w:rPr>
        <w:t xml:space="preserve"> client </w:t>
      </w:r>
      <w:r w:rsidR="00CE2B5F" w:rsidRPr="00814C24">
        <w:rPr>
          <w:bCs/>
          <w:sz w:val="24"/>
          <w:szCs w:val="24"/>
          <w:highlight w:val="yellow"/>
        </w:rPr>
        <w:t>will live</w:t>
      </w:r>
      <w:r w:rsidRPr="00814C24">
        <w:rPr>
          <w:bCs/>
          <w:sz w:val="24"/>
          <w:szCs w:val="24"/>
          <w:highlight w:val="yellow"/>
        </w:rPr>
        <w:t>, who will be living with, and any proposed conditions of release]</w:t>
      </w:r>
      <w:r w:rsidR="00473811">
        <w:rPr>
          <w:bCs/>
          <w:sz w:val="24"/>
          <w:szCs w:val="24"/>
        </w:rPr>
        <w:t>.</w:t>
      </w:r>
    </w:p>
    <w:p w14:paraId="617141B9" w14:textId="77777777" w:rsidR="00A751CC" w:rsidRPr="00814C24" w:rsidRDefault="00A751CC" w:rsidP="00A52ACC">
      <w:pPr>
        <w:pStyle w:val="NoSpacing"/>
        <w:spacing w:line="480" w:lineRule="auto"/>
        <w:ind w:firstLine="720"/>
        <w:rPr>
          <w:sz w:val="24"/>
          <w:szCs w:val="24"/>
        </w:rPr>
      </w:pPr>
    </w:p>
    <w:p w14:paraId="4BC306F9" w14:textId="77777777" w:rsidR="00CE2B5F" w:rsidRPr="00814C24" w:rsidRDefault="00CE2B5F" w:rsidP="00CE2B5F">
      <w:pPr>
        <w:pStyle w:val="NoSpacing"/>
        <w:spacing w:line="480" w:lineRule="auto"/>
        <w:jc w:val="center"/>
        <w:rPr>
          <w:b/>
          <w:sz w:val="24"/>
          <w:szCs w:val="24"/>
          <w:u w:val="single"/>
        </w:rPr>
      </w:pPr>
      <w:r w:rsidRPr="00814C24">
        <w:rPr>
          <w:b/>
          <w:sz w:val="24"/>
          <w:szCs w:val="24"/>
          <w:u w:val="single"/>
        </w:rPr>
        <w:lastRenderedPageBreak/>
        <w:t>Factual Background</w:t>
      </w:r>
    </w:p>
    <w:p w14:paraId="348D34E0" w14:textId="6AC5CC2B" w:rsidR="008C58BC" w:rsidRPr="009F2B53" w:rsidRDefault="001F3680" w:rsidP="009F2B53">
      <w:pPr>
        <w:pStyle w:val="ListParagraph"/>
        <w:numPr>
          <w:ilvl w:val="0"/>
          <w:numId w:val="9"/>
        </w:numPr>
        <w:spacing w:line="480" w:lineRule="auto"/>
        <w:rPr>
          <w:rFonts w:eastAsia="Bookman Old Style"/>
          <w:b/>
          <w:iCs/>
        </w:rPr>
      </w:pPr>
      <w:r w:rsidRPr="009F2B53">
        <w:rPr>
          <w:rFonts w:eastAsia="Bookman Old Style"/>
          <w:b/>
          <w:iCs/>
        </w:rPr>
        <w:t xml:space="preserve">Changed Circumstances: COVID-19 </w:t>
      </w:r>
      <w:r w:rsidR="009F2B53" w:rsidRPr="009F2B53">
        <w:rPr>
          <w:rFonts w:eastAsia="Bookman Old Style"/>
          <w:b/>
          <w:iCs/>
        </w:rPr>
        <w:t>Pandemic</w:t>
      </w:r>
    </w:p>
    <w:p w14:paraId="6BC77DE5" w14:textId="4345C481" w:rsidR="008C58BC" w:rsidRPr="00814C24" w:rsidRDefault="008C58BC" w:rsidP="00E70EE9">
      <w:pPr>
        <w:pStyle w:val="NoSpacing"/>
        <w:spacing w:line="480" w:lineRule="auto"/>
        <w:ind w:firstLine="720"/>
        <w:rPr>
          <w:sz w:val="24"/>
          <w:szCs w:val="24"/>
        </w:rPr>
      </w:pPr>
      <w:r w:rsidRPr="00814C24">
        <w:rPr>
          <w:sz w:val="24"/>
          <w:szCs w:val="24"/>
        </w:rPr>
        <w:t xml:space="preserve"> We are facing a serious and urgent public health crisis. On March 11, 2020, the World Health Organization officially classified COVID-19, a new strain of coronavirus, as a global </w:t>
      </w:r>
      <w:r w:rsidRPr="00814C24">
        <w:rPr>
          <w:rFonts w:eastAsiaTheme="minorHAnsi"/>
          <w:sz w:val="24"/>
          <w:szCs w:val="24"/>
        </w:rPr>
        <w:t>pandemic.</w:t>
      </w:r>
      <w:r w:rsidRPr="00814C24">
        <w:rPr>
          <w:rStyle w:val="FootnoteReference"/>
          <w:rFonts w:eastAsiaTheme="minorHAnsi"/>
          <w:sz w:val="24"/>
          <w:szCs w:val="24"/>
        </w:rPr>
        <w:footnoteReference w:id="1"/>
      </w:r>
      <w:r w:rsidRPr="00814C24">
        <w:rPr>
          <w:sz w:val="24"/>
          <w:szCs w:val="24"/>
        </w:rPr>
        <w:t xml:space="preserve"> </w:t>
      </w:r>
      <w:r w:rsidRPr="00814C24">
        <w:rPr>
          <w:rFonts w:eastAsiaTheme="minorHAnsi"/>
          <w:sz w:val="24"/>
          <w:szCs w:val="24"/>
        </w:rPr>
        <w:t>On January 21, 2020, Washington State announced the first confirmed case of coronavirus in the United States.</w:t>
      </w:r>
      <w:r w:rsidRPr="00814C24">
        <w:rPr>
          <w:rStyle w:val="FootnoteReference"/>
          <w:rFonts w:eastAsiaTheme="minorHAnsi"/>
          <w:sz w:val="24"/>
          <w:szCs w:val="24"/>
        </w:rPr>
        <w:footnoteReference w:id="2"/>
      </w:r>
      <w:r w:rsidRPr="00814C24">
        <w:rPr>
          <w:rFonts w:eastAsiaTheme="minorHAnsi"/>
          <w:sz w:val="24"/>
          <w:szCs w:val="24"/>
        </w:rPr>
        <w:t xml:space="preserve"> As of </w:t>
      </w:r>
      <w:r w:rsidR="00814C24" w:rsidRPr="00814C24">
        <w:rPr>
          <w:rFonts w:eastAsiaTheme="minorHAnsi"/>
          <w:sz w:val="24"/>
          <w:szCs w:val="24"/>
          <w:highlight w:val="yellow"/>
        </w:rPr>
        <w:t>[</w:t>
      </w:r>
      <w:r w:rsidR="008E629D" w:rsidRPr="00814C24">
        <w:rPr>
          <w:rFonts w:eastAsiaTheme="minorHAnsi"/>
          <w:sz w:val="24"/>
          <w:szCs w:val="24"/>
          <w:highlight w:val="yellow"/>
        </w:rPr>
        <w:t>April</w:t>
      </w:r>
      <w:r w:rsidRPr="00814C24">
        <w:rPr>
          <w:rFonts w:eastAsiaTheme="minorHAnsi"/>
          <w:sz w:val="24"/>
          <w:szCs w:val="24"/>
          <w:highlight w:val="yellow"/>
        </w:rPr>
        <w:t xml:space="preserve">, </w:t>
      </w:r>
      <w:r w:rsidR="007159AD">
        <w:rPr>
          <w:rFonts w:eastAsiaTheme="minorHAnsi"/>
          <w:sz w:val="24"/>
          <w:szCs w:val="24"/>
          <w:highlight w:val="yellow"/>
        </w:rPr>
        <w:t>6</w:t>
      </w:r>
      <w:r w:rsidR="008E629D" w:rsidRPr="00814C24">
        <w:rPr>
          <w:rFonts w:eastAsiaTheme="minorHAnsi"/>
          <w:sz w:val="24"/>
          <w:szCs w:val="24"/>
          <w:highlight w:val="yellow"/>
        </w:rPr>
        <w:t xml:space="preserve">, </w:t>
      </w:r>
      <w:r w:rsidRPr="00814C24">
        <w:rPr>
          <w:rFonts w:eastAsiaTheme="minorHAnsi"/>
          <w:sz w:val="24"/>
          <w:szCs w:val="24"/>
          <w:highlight w:val="yellow"/>
        </w:rPr>
        <w:t>2020</w:t>
      </w:r>
      <w:r w:rsidR="00814C24" w:rsidRPr="00814C24">
        <w:rPr>
          <w:rFonts w:eastAsiaTheme="minorHAnsi"/>
          <w:sz w:val="24"/>
          <w:szCs w:val="24"/>
          <w:highlight w:val="yellow"/>
        </w:rPr>
        <w:t>]</w:t>
      </w:r>
      <w:r w:rsidRPr="00814C24">
        <w:rPr>
          <w:rFonts w:eastAsiaTheme="minorHAnsi"/>
          <w:sz w:val="24"/>
          <w:szCs w:val="24"/>
        </w:rPr>
        <w:t xml:space="preserve">, COVID-19 has infected over </w:t>
      </w:r>
      <w:r w:rsidR="00814C24" w:rsidRPr="002A2CE9">
        <w:rPr>
          <w:rFonts w:eastAsiaTheme="minorHAnsi"/>
          <w:sz w:val="24"/>
          <w:szCs w:val="24"/>
          <w:highlight w:val="yellow"/>
        </w:rPr>
        <w:t>[</w:t>
      </w:r>
      <w:r w:rsidR="007159AD">
        <w:rPr>
          <w:rFonts w:eastAsiaTheme="minorHAnsi"/>
          <w:sz w:val="24"/>
          <w:szCs w:val="24"/>
          <w:highlight w:val="yellow"/>
        </w:rPr>
        <w:t>336,776</w:t>
      </w:r>
      <w:r w:rsidR="002A2CE9" w:rsidRPr="002A2CE9">
        <w:rPr>
          <w:rFonts w:eastAsiaTheme="minorHAnsi"/>
          <w:sz w:val="24"/>
          <w:szCs w:val="24"/>
          <w:highlight w:val="yellow"/>
        </w:rPr>
        <w:t>]</w:t>
      </w:r>
      <w:r w:rsidRPr="00814C24">
        <w:rPr>
          <w:rFonts w:eastAsiaTheme="minorHAnsi"/>
          <w:sz w:val="24"/>
          <w:szCs w:val="24"/>
        </w:rPr>
        <w:t xml:space="preserve"> people across the United States, leading to at least </w:t>
      </w:r>
      <w:r w:rsidR="00814C24" w:rsidRPr="00814C24">
        <w:rPr>
          <w:rFonts w:eastAsiaTheme="minorHAnsi"/>
          <w:sz w:val="24"/>
          <w:szCs w:val="24"/>
          <w:highlight w:val="yellow"/>
        </w:rPr>
        <w:t>[</w:t>
      </w:r>
      <w:r w:rsidR="007159AD">
        <w:rPr>
          <w:rFonts w:eastAsiaTheme="minorHAnsi"/>
          <w:sz w:val="24"/>
          <w:szCs w:val="24"/>
          <w:highlight w:val="yellow"/>
        </w:rPr>
        <w:t>9,655</w:t>
      </w:r>
      <w:r w:rsidR="00814C24" w:rsidRPr="00814C24">
        <w:rPr>
          <w:rFonts w:eastAsiaTheme="minorHAnsi"/>
          <w:sz w:val="24"/>
          <w:szCs w:val="24"/>
          <w:highlight w:val="yellow"/>
        </w:rPr>
        <w:t>]</w:t>
      </w:r>
      <w:r w:rsidRPr="00814C24">
        <w:rPr>
          <w:rFonts w:eastAsiaTheme="minorHAnsi"/>
          <w:sz w:val="24"/>
          <w:szCs w:val="24"/>
        </w:rPr>
        <w:t xml:space="preserve"> deaths.</w:t>
      </w:r>
      <w:r w:rsidRPr="00814C24">
        <w:rPr>
          <w:rStyle w:val="FootnoteReference"/>
          <w:rFonts w:eastAsiaTheme="minorHAnsi"/>
          <w:sz w:val="24"/>
          <w:szCs w:val="24"/>
        </w:rPr>
        <w:footnoteReference w:id="3"/>
      </w:r>
    </w:p>
    <w:p w14:paraId="3C337946" w14:textId="08B19C6C" w:rsidR="003E191C" w:rsidRPr="00814C24" w:rsidRDefault="00CE2B5F" w:rsidP="003E191C">
      <w:pPr>
        <w:pStyle w:val="NoSpacing"/>
        <w:spacing w:line="480" w:lineRule="auto"/>
        <w:ind w:firstLine="720"/>
        <w:rPr>
          <w:sz w:val="24"/>
          <w:szCs w:val="24"/>
        </w:rPr>
      </w:pPr>
      <w:r w:rsidRPr="00814C24">
        <w:rPr>
          <w:sz w:val="24"/>
          <w:szCs w:val="24"/>
        </w:rPr>
        <w:t>On</w:t>
      </w:r>
      <w:r w:rsidR="008C58BC" w:rsidRPr="00814C24">
        <w:rPr>
          <w:sz w:val="24"/>
          <w:szCs w:val="24"/>
        </w:rPr>
        <w:t xml:space="preserve"> </w:t>
      </w:r>
      <w:r w:rsidR="008C58BC" w:rsidRPr="00814C24">
        <w:rPr>
          <w:sz w:val="24"/>
          <w:szCs w:val="24"/>
          <w:highlight w:val="yellow"/>
        </w:rPr>
        <w:t>[date]</w:t>
      </w:r>
      <w:r w:rsidR="008C58BC" w:rsidRPr="00814C24">
        <w:rPr>
          <w:sz w:val="24"/>
          <w:szCs w:val="24"/>
        </w:rPr>
        <w:t xml:space="preserve">, 2020, </w:t>
      </w:r>
      <w:r w:rsidR="0018194B" w:rsidRPr="00814C24">
        <w:rPr>
          <w:sz w:val="24"/>
          <w:szCs w:val="24"/>
          <w:highlight w:val="yellow"/>
        </w:rPr>
        <w:t>[STATE GOVERNOR/LOCAL LEADER]</w:t>
      </w:r>
      <w:r w:rsidR="00E43F6B" w:rsidRPr="00814C24">
        <w:rPr>
          <w:sz w:val="24"/>
          <w:szCs w:val="24"/>
        </w:rPr>
        <w:t xml:space="preserve"> declared a State of Emergency</w:t>
      </w:r>
      <w:r w:rsidR="008C58BC" w:rsidRPr="00814C24">
        <w:rPr>
          <w:sz w:val="24"/>
          <w:szCs w:val="24"/>
        </w:rPr>
        <w:t>.</w:t>
      </w:r>
      <w:r w:rsidR="00E43F6B" w:rsidRPr="00814C24">
        <w:rPr>
          <w:sz w:val="24"/>
          <w:szCs w:val="24"/>
        </w:rPr>
        <w:t xml:space="preserve"> </w:t>
      </w:r>
      <w:r w:rsidR="0018194B" w:rsidRPr="00814C24">
        <w:rPr>
          <w:sz w:val="24"/>
          <w:szCs w:val="24"/>
        </w:rPr>
        <w:t xml:space="preserve">Additional protective measures have been taken including </w:t>
      </w:r>
      <w:r w:rsidR="0018194B" w:rsidRPr="00814C24">
        <w:rPr>
          <w:sz w:val="24"/>
          <w:szCs w:val="24"/>
          <w:highlight w:val="yellow"/>
        </w:rPr>
        <w:t>[list state and/or local restrictions on group gatherings, school closures, etc</w:t>
      </w:r>
      <w:r w:rsidR="008C58BC" w:rsidRPr="00814C24">
        <w:rPr>
          <w:sz w:val="24"/>
          <w:szCs w:val="24"/>
          <w:highlight w:val="yellow"/>
        </w:rPr>
        <w:t>.</w:t>
      </w:r>
      <w:r w:rsidR="0018194B" w:rsidRPr="00814C24">
        <w:rPr>
          <w:sz w:val="24"/>
          <w:szCs w:val="24"/>
          <w:highlight w:val="yellow"/>
        </w:rPr>
        <w:t>]</w:t>
      </w:r>
      <w:r w:rsidR="0018194B" w:rsidRPr="00814C24">
        <w:rPr>
          <w:sz w:val="24"/>
          <w:szCs w:val="24"/>
        </w:rPr>
        <w:t xml:space="preserve"> As of </w:t>
      </w:r>
      <w:r w:rsidR="0018194B" w:rsidRPr="00814C24">
        <w:rPr>
          <w:sz w:val="24"/>
          <w:szCs w:val="24"/>
          <w:highlight w:val="yellow"/>
        </w:rPr>
        <w:t>[DATE]</w:t>
      </w:r>
      <w:r w:rsidR="0018194B" w:rsidRPr="00814C24">
        <w:rPr>
          <w:sz w:val="24"/>
          <w:szCs w:val="24"/>
        </w:rPr>
        <w:t xml:space="preserve"> there are </w:t>
      </w:r>
      <w:r w:rsidR="0018194B" w:rsidRPr="00814C24">
        <w:rPr>
          <w:sz w:val="24"/>
          <w:szCs w:val="24"/>
          <w:highlight w:val="yellow"/>
        </w:rPr>
        <w:t>[NUMBER</w:t>
      </w:r>
      <w:r w:rsidR="0018194B" w:rsidRPr="00814C24">
        <w:rPr>
          <w:sz w:val="24"/>
          <w:szCs w:val="24"/>
        </w:rPr>
        <w:t xml:space="preserve">] of positive cases of COVID-19 in </w:t>
      </w:r>
      <w:r w:rsidR="0018194B" w:rsidRPr="00814C24">
        <w:rPr>
          <w:sz w:val="24"/>
          <w:szCs w:val="24"/>
          <w:highlight w:val="yellow"/>
        </w:rPr>
        <w:t>[STATE and/or LOCALITY]</w:t>
      </w:r>
      <w:r w:rsidR="00814C24">
        <w:rPr>
          <w:sz w:val="24"/>
          <w:szCs w:val="24"/>
          <w:highlight w:val="yellow"/>
        </w:rPr>
        <w:t xml:space="preserve"> </w:t>
      </w:r>
      <w:r w:rsidR="0018194B" w:rsidRPr="00814C24">
        <w:rPr>
          <w:sz w:val="24"/>
          <w:szCs w:val="24"/>
          <w:highlight w:val="yellow"/>
        </w:rPr>
        <w:t>[and __ number of confirmed deaths in STATE]</w:t>
      </w:r>
      <w:r w:rsidR="008C58BC" w:rsidRPr="00814C24">
        <w:rPr>
          <w:sz w:val="24"/>
          <w:szCs w:val="24"/>
        </w:rPr>
        <w:t>.</w:t>
      </w:r>
    </w:p>
    <w:p w14:paraId="1CB30FDD" w14:textId="06E6A01F" w:rsidR="003E191C" w:rsidRPr="00803F49" w:rsidRDefault="003E191C" w:rsidP="00E70EE9">
      <w:pPr>
        <w:pStyle w:val="NoSpacing"/>
        <w:spacing w:line="480" w:lineRule="auto"/>
        <w:ind w:firstLine="720"/>
        <w:rPr>
          <w:sz w:val="24"/>
          <w:szCs w:val="24"/>
        </w:rPr>
      </w:pPr>
      <w:r w:rsidRPr="00814C24">
        <w:rPr>
          <w:sz w:val="24"/>
          <w:szCs w:val="24"/>
        </w:rPr>
        <w:t>While adults over sixty years old and people with chronic medical conditions are at heig</w:t>
      </w:r>
      <w:r w:rsidRPr="00803F49">
        <w:rPr>
          <w:sz w:val="24"/>
          <w:szCs w:val="24"/>
        </w:rPr>
        <w:t>htened risk for COVID-19, young, otherwise healthy individuals are not immune from infection. Data from the Centers for Disease Control and Prevention (CDC) shows that nearly 40% of patients hospitalized from coronavirus were 20 to 54 years old.</w:t>
      </w:r>
      <w:r w:rsidR="008C58BC" w:rsidRPr="00803F49">
        <w:rPr>
          <w:rStyle w:val="FootnoteReference"/>
          <w:sz w:val="24"/>
          <w:szCs w:val="24"/>
        </w:rPr>
        <w:footnoteReference w:id="4"/>
      </w:r>
      <w:r w:rsidR="008C58BC" w:rsidRPr="00803F49">
        <w:rPr>
          <w:sz w:val="24"/>
          <w:szCs w:val="24"/>
        </w:rPr>
        <w:t xml:space="preserve"> </w:t>
      </w:r>
      <w:r w:rsidRPr="00803F49">
        <w:rPr>
          <w:sz w:val="24"/>
          <w:szCs w:val="24"/>
        </w:rPr>
        <w:t xml:space="preserve"> In New York, </w:t>
      </w:r>
      <w:r w:rsidR="00E70EE9" w:rsidRPr="00803F49">
        <w:rPr>
          <w:sz w:val="24"/>
          <w:szCs w:val="24"/>
        </w:rPr>
        <w:t xml:space="preserve">for example, </w:t>
      </w:r>
      <w:r w:rsidRPr="00803F49">
        <w:rPr>
          <w:sz w:val="24"/>
          <w:szCs w:val="24"/>
        </w:rPr>
        <w:t>18- to 49-year-olds comprise more than half of all cases in the state.</w:t>
      </w:r>
      <w:r w:rsidR="008C58BC" w:rsidRPr="00803F49">
        <w:rPr>
          <w:rStyle w:val="FootnoteReference"/>
          <w:sz w:val="24"/>
          <w:szCs w:val="24"/>
        </w:rPr>
        <w:footnoteReference w:id="5"/>
      </w:r>
      <w:r w:rsidRPr="00803F49">
        <w:rPr>
          <w:sz w:val="24"/>
          <w:szCs w:val="24"/>
        </w:rPr>
        <w:t xml:space="preserve"> With </w:t>
      </w:r>
      <w:r w:rsidR="00E70EE9" w:rsidRPr="00803F49">
        <w:rPr>
          <w:sz w:val="24"/>
          <w:szCs w:val="24"/>
        </w:rPr>
        <w:t xml:space="preserve">a rising </w:t>
      </w:r>
      <w:r w:rsidR="00E70EE9" w:rsidRPr="00803F49">
        <w:rPr>
          <w:sz w:val="24"/>
          <w:szCs w:val="24"/>
        </w:rPr>
        <w:lastRenderedPageBreak/>
        <w:t xml:space="preserve">number of cases in </w:t>
      </w:r>
      <w:r w:rsidR="00E70EE9" w:rsidRPr="00803F49">
        <w:rPr>
          <w:sz w:val="24"/>
          <w:szCs w:val="24"/>
          <w:highlight w:val="yellow"/>
        </w:rPr>
        <w:t>[STATE and/or LOCALITY]</w:t>
      </w:r>
      <w:r w:rsidR="00E70EE9" w:rsidRPr="00803F49">
        <w:rPr>
          <w:sz w:val="24"/>
          <w:szCs w:val="24"/>
        </w:rPr>
        <w:t xml:space="preserve"> </w:t>
      </w:r>
      <w:r w:rsidRPr="00803F49">
        <w:rPr>
          <w:sz w:val="24"/>
          <w:szCs w:val="24"/>
        </w:rPr>
        <w:t>indicat</w:t>
      </w:r>
      <w:r w:rsidR="00E70EE9" w:rsidRPr="00803F49">
        <w:rPr>
          <w:sz w:val="24"/>
          <w:szCs w:val="24"/>
        </w:rPr>
        <w:t>ive of</w:t>
      </w:r>
      <w:r w:rsidRPr="00803F49">
        <w:rPr>
          <w:sz w:val="24"/>
          <w:szCs w:val="24"/>
        </w:rPr>
        <w:t xml:space="preserve"> community spread, we must take every necessary action to protect vulnerable populations and the community at large.</w:t>
      </w:r>
      <w:r w:rsidR="00AB023E" w:rsidRPr="00803F49">
        <w:rPr>
          <w:sz w:val="24"/>
          <w:szCs w:val="24"/>
        </w:rPr>
        <w:t xml:space="preserve"> As one New York court judge recently recognized, “Realistically, the best—perhaps the only—way to mitigate the damage and reduce the death toll is to decrease the jail and prison population by releasing as many people as possible.” </w:t>
      </w:r>
      <w:r w:rsidR="00AB023E" w:rsidRPr="00803F49">
        <w:rPr>
          <w:i/>
          <w:iCs/>
          <w:sz w:val="24"/>
          <w:szCs w:val="24"/>
        </w:rPr>
        <w:t>United States</w:t>
      </w:r>
      <w:r w:rsidR="00AB023E" w:rsidRPr="00803F49">
        <w:rPr>
          <w:sz w:val="24"/>
          <w:szCs w:val="24"/>
        </w:rPr>
        <w:t xml:space="preserve"> </w:t>
      </w:r>
      <w:r w:rsidR="00AB023E" w:rsidRPr="00803F49">
        <w:rPr>
          <w:i/>
          <w:iCs/>
          <w:sz w:val="24"/>
          <w:szCs w:val="24"/>
        </w:rPr>
        <w:t xml:space="preserve">v. </w:t>
      </w:r>
      <w:proofErr w:type="spellStart"/>
      <w:r w:rsidR="00AB023E" w:rsidRPr="00803F49">
        <w:rPr>
          <w:i/>
          <w:iCs/>
          <w:sz w:val="24"/>
          <w:szCs w:val="24"/>
        </w:rPr>
        <w:t>Nkanga</w:t>
      </w:r>
      <w:proofErr w:type="spellEnd"/>
      <w:r w:rsidR="00AB023E" w:rsidRPr="00803F49">
        <w:rPr>
          <w:sz w:val="24"/>
          <w:szCs w:val="24"/>
        </w:rPr>
        <w:t>, No. 18-CR-713, 2020 WL 1529535, at *1 (S.D.N.Y. Mar. 31, 2020)</w:t>
      </w:r>
      <w:r w:rsidR="001F452A" w:rsidRPr="00803F49">
        <w:rPr>
          <w:sz w:val="24"/>
          <w:szCs w:val="24"/>
        </w:rPr>
        <w:t xml:space="preserve"> (concluding that the court was powerless to provide bail after a prison sentence had commenced</w:t>
      </w:r>
      <w:r w:rsidR="00A41193" w:rsidRPr="00803F49">
        <w:rPr>
          <w:sz w:val="24"/>
          <w:szCs w:val="24"/>
        </w:rPr>
        <w:t xml:space="preserve"> despite temporary release being the “rational and right result”).</w:t>
      </w:r>
    </w:p>
    <w:p w14:paraId="6E0B168E" w14:textId="5E92A711" w:rsidR="00A72033" w:rsidRPr="009F2B53" w:rsidRDefault="00A72033" w:rsidP="009F2B53">
      <w:pPr>
        <w:pStyle w:val="NoSpacing"/>
        <w:numPr>
          <w:ilvl w:val="0"/>
          <w:numId w:val="9"/>
        </w:numPr>
        <w:spacing w:line="480" w:lineRule="auto"/>
        <w:rPr>
          <w:b/>
          <w:iCs/>
          <w:sz w:val="24"/>
          <w:szCs w:val="24"/>
        </w:rPr>
      </w:pPr>
      <w:r w:rsidRPr="009F2B53">
        <w:rPr>
          <w:b/>
          <w:iCs/>
          <w:sz w:val="24"/>
          <w:szCs w:val="24"/>
        </w:rPr>
        <w:t xml:space="preserve">Conditions of Confinement </w:t>
      </w:r>
      <w:r w:rsidR="00E43F6B" w:rsidRPr="009F2B53">
        <w:rPr>
          <w:b/>
          <w:iCs/>
          <w:sz w:val="24"/>
          <w:szCs w:val="24"/>
        </w:rPr>
        <w:t>and</w:t>
      </w:r>
      <w:r w:rsidRPr="009F2B53">
        <w:rPr>
          <w:b/>
          <w:iCs/>
          <w:sz w:val="24"/>
          <w:szCs w:val="24"/>
        </w:rPr>
        <w:t xml:space="preserve"> Spread </w:t>
      </w:r>
      <w:r w:rsidR="00E43F6B" w:rsidRPr="009F2B53">
        <w:rPr>
          <w:b/>
          <w:iCs/>
          <w:sz w:val="24"/>
          <w:szCs w:val="24"/>
        </w:rPr>
        <w:t>of</w:t>
      </w:r>
      <w:r w:rsidRPr="009F2B53">
        <w:rPr>
          <w:b/>
          <w:iCs/>
          <w:sz w:val="24"/>
          <w:szCs w:val="24"/>
        </w:rPr>
        <w:t xml:space="preserve"> </w:t>
      </w:r>
      <w:r w:rsidR="0038763B" w:rsidRPr="009F2B53">
        <w:rPr>
          <w:b/>
          <w:iCs/>
          <w:sz w:val="24"/>
          <w:szCs w:val="24"/>
        </w:rPr>
        <w:t>COVID-19</w:t>
      </w:r>
    </w:p>
    <w:p w14:paraId="74F5A03C" w14:textId="4AAB3BFE" w:rsidR="00DC6907" w:rsidRDefault="00A72033" w:rsidP="00BE1C52">
      <w:pPr>
        <w:pStyle w:val="NoSpacing"/>
        <w:spacing w:line="480" w:lineRule="auto"/>
        <w:ind w:firstLine="720"/>
        <w:rPr>
          <w:sz w:val="24"/>
          <w:szCs w:val="24"/>
        </w:rPr>
      </w:pPr>
      <w:r w:rsidRPr="00803F49">
        <w:rPr>
          <w:sz w:val="24"/>
          <w:szCs w:val="24"/>
        </w:rPr>
        <w:t xml:space="preserve">Conditions of </w:t>
      </w:r>
      <w:r w:rsidR="007B62CB" w:rsidRPr="00803F49">
        <w:rPr>
          <w:sz w:val="24"/>
          <w:szCs w:val="24"/>
        </w:rPr>
        <w:t xml:space="preserve">pretrial </w:t>
      </w:r>
      <w:r w:rsidRPr="00803F49">
        <w:rPr>
          <w:sz w:val="24"/>
          <w:szCs w:val="24"/>
        </w:rPr>
        <w:t>confinement create the ideal environment for the transmission of contagious disease.</w:t>
      </w:r>
      <w:r w:rsidRPr="00803F49">
        <w:rPr>
          <w:rStyle w:val="FootnoteReference"/>
          <w:sz w:val="24"/>
          <w:szCs w:val="24"/>
        </w:rPr>
        <w:footnoteReference w:id="6"/>
      </w:r>
      <w:r w:rsidRPr="00803F49">
        <w:rPr>
          <w:sz w:val="24"/>
          <w:szCs w:val="24"/>
        </w:rPr>
        <w:t xml:space="preserve">  </w:t>
      </w:r>
      <w:r w:rsidR="00DC07A6">
        <w:rPr>
          <w:sz w:val="24"/>
          <w:szCs w:val="24"/>
        </w:rPr>
        <w:t>Incarcerated people</w:t>
      </w:r>
      <w:r w:rsidR="00DC07A6" w:rsidRPr="00803F49">
        <w:rPr>
          <w:sz w:val="24"/>
          <w:szCs w:val="24"/>
        </w:rPr>
        <w:t xml:space="preserve"> </w:t>
      </w:r>
      <w:r w:rsidR="00C54592" w:rsidRPr="00803F49">
        <w:rPr>
          <w:sz w:val="24"/>
          <w:szCs w:val="24"/>
        </w:rPr>
        <w:t xml:space="preserve">cycle in and out of </w:t>
      </w:r>
      <w:r w:rsidR="00613BB2" w:rsidRPr="00803F49">
        <w:rPr>
          <w:sz w:val="24"/>
          <w:szCs w:val="24"/>
        </w:rPr>
        <w:t>detention</w:t>
      </w:r>
      <w:r w:rsidR="007B62CB" w:rsidRPr="00803F49">
        <w:rPr>
          <w:sz w:val="24"/>
          <w:szCs w:val="24"/>
        </w:rPr>
        <w:t xml:space="preserve"> </w:t>
      </w:r>
      <w:r w:rsidRPr="00803F49">
        <w:rPr>
          <w:sz w:val="24"/>
          <w:szCs w:val="24"/>
        </w:rPr>
        <w:t>facilities</w:t>
      </w:r>
      <w:r w:rsidR="007B62CB" w:rsidRPr="00803F49">
        <w:rPr>
          <w:sz w:val="24"/>
          <w:szCs w:val="24"/>
        </w:rPr>
        <w:t xml:space="preserve"> from all over </w:t>
      </w:r>
      <w:r w:rsidR="00814C24" w:rsidRPr="00803F49">
        <w:rPr>
          <w:sz w:val="24"/>
          <w:szCs w:val="24"/>
        </w:rPr>
        <w:t>the</w:t>
      </w:r>
      <w:r w:rsidR="007B62CB" w:rsidRPr="00803F49">
        <w:rPr>
          <w:sz w:val="24"/>
          <w:szCs w:val="24"/>
        </w:rPr>
        <w:t xml:space="preserve"> country,</w:t>
      </w:r>
      <w:r w:rsidR="00C549F8" w:rsidRPr="00803F49">
        <w:rPr>
          <w:sz w:val="24"/>
          <w:szCs w:val="24"/>
        </w:rPr>
        <w:t xml:space="preserve"> and </w:t>
      </w:r>
      <w:r w:rsidR="007B62CB" w:rsidRPr="00803F49">
        <w:rPr>
          <w:sz w:val="24"/>
          <w:szCs w:val="24"/>
        </w:rPr>
        <w:t>people who work in the facilities</w:t>
      </w:r>
      <w:r w:rsidR="00613BB2" w:rsidRPr="00803F49">
        <w:rPr>
          <w:sz w:val="24"/>
          <w:szCs w:val="24"/>
        </w:rPr>
        <w:t xml:space="preserve"> including correctional officers, and care and service providers </w:t>
      </w:r>
      <w:r w:rsidRPr="00803F49">
        <w:rPr>
          <w:sz w:val="24"/>
          <w:szCs w:val="24"/>
        </w:rPr>
        <w:t>leave and return daily</w:t>
      </w:r>
      <w:r w:rsidR="007B62CB" w:rsidRPr="00803F49">
        <w:rPr>
          <w:sz w:val="24"/>
          <w:szCs w:val="24"/>
        </w:rPr>
        <w:t xml:space="preserve">, without </w:t>
      </w:r>
      <w:r w:rsidR="005379D4" w:rsidRPr="00803F49">
        <w:rPr>
          <w:sz w:val="24"/>
          <w:szCs w:val="24"/>
        </w:rPr>
        <w:t xml:space="preserve">medical </w:t>
      </w:r>
      <w:r w:rsidR="007B62CB" w:rsidRPr="00803F49">
        <w:rPr>
          <w:sz w:val="24"/>
          <w:szCs w:val="24"/>
        </w:rPr>
        <w:t>screening</w:t>
      </w:r>
      <w:r w:rsidR="00C549F8" w:rsidRPr="00803F49">
        <w:rPr>
          <w:sz w:val="24"/>
          <w:szCs w:val="24"/>
        </w:rPr>
        <w:t>.</w:t>
      </w:r>
      <w:r w:rsidRPr="00803F49">
        <w:rPr>
          <w:sz w:val="24"/>
          <w:szCs w:val="24"/>
        </w:rPr>
        <w:t xml:space="preserve"> Incarcerated people have poorer health than the general population, and even at the best of </w:t>
      </w:r>
      <w:r w:rsidR="00803F49" w:rsidRPr="00803F49">
        <w:rPr>
          <w:sz w:val="24"/>
          <w:szCs w:val="24"/>
        </w:rPr>
        <w:t>t</w:t>
      </w:r>
      <w:r w:rsidR="00803F49">
        <w:rPr>
          <w:sz w:val="24"/>
          <w:szCs w:val="24"/>
        </w:rPr>
        <w:t>i</w:t>
      </w:r>
      <w:r w:rsidR="00803F49" w:rsidRPr="00803F49">
        <w:rPr>
          <w:sz w:val="24"/>
          <w:szCs w:val="24"/>
        </w:rPr>
        <w:t>mes</w:t>
      </w:r>
      <w:r w:rsidRPr="00803F49">
        <w:rPr>
          <w:sz w:val="24"/>
          <w:szCs w:val="24"/>
        </w:rPr>
        <w:t>, medical care is limited.</w:t>
      </w:r>
      <w:r w:rsidRPr="00803F49">
        <w:rPr>
          <w:rStyle w:val="FootnoteReference"/>
          <w:sz w:val="24"/>
          <w:szCs w:val="24"/>
        </w:rPr>
        <w:footnoteReference w:id="7"/>
      </w:r>
      <w:r w:rsidRPr="00803F49">
        <w:rPr>
          <w:sz w:val="24"/>
          <w:szCs w:val="24"/>
        </w:rPr>
        <w:t xml:space="preserve">  </w:t>
      </w:r>
      <w:r w:rsidR="00BC3BB0" w:rsidRPr="00803F49">
        <w:rPr>
          <w:sz w:val="24"/>
          <w:szCs w:val="24"/>
        </w:rPr>
        <w:t>According to public health experts, incarcerated individuals “are at special risk of infection, given their living situations,” and “may also be less able to participate in proactive measures to keep themselves safe</w:t>
      </w:r>
      <w:r w:rsidR="00C54592" w:rsidRPr="00803F49">
        <w:rPr>
          <w:sz w:val="24"/>
          <w:szCs w:val="24"/>
        </w:rPr>
        <w:t>;</w:t>
      </w:r>
      <w:r w:rsidR="00BC3BB0" w:rsidRPr="00803F49">
        <w:rPr>
          <w:sz w:val="24"/>
          <w:szCs w:val="24"/>
        </w:rPr>
        <w:t>” “infection control is challenging in these settings.”</w:t>
      </w:r>
      <w:r w:rsidR="00BC3BB0" w:rsidRPr="00803F49">
        <w:rPr>
          <w:rStyle w:val="FootnoteReference"/>
          <w:sz w:val="24"/>
          <w:szCs w:val="24"/>
        </w:rPr>
        <w:footnoteReference w:id="8"/>
      </w:r>
      <w:r w:rsidR="00895BFB" w:rsidRPr="00803F49">
        <w:rPr>
          <w:sz w:val="24"/>
          <w:szCs w:val="24"/>
        </w:rPr>
        <w:t xml:space="preserve"> </w:t>
      </w:r>
      <w:r w:rsidR="00BC3BB0" w:rsidRPr="00803F49">
        <w:rPr>
          <w:sz w:val="24"/>
          <w:szCs w:val="24"/>
        </w:rPr>
        <w:t xml:space="preserve"> Outbreaks of the flu regularly occur in jails, and during the H1N1 epidemic in 2009, many jails and prisons dealt with </w:t>
      </w:r>
      <w:r w:rsidR="00BC3BB0" w:rsidRPr="00803F49">
        <w:rPr>
          <w:sz w:val="24"/>
          <w:szCs w:val="24"/>
        </w:rPr>
        <w:lastRenderedPageBreak/>
        <w:t>high numbers of cases.</w:t>
      </w:r>
      <w:r w:rsidR="00BC3BB0" w:rsidRPr="00803F49">
        <w:rPr>
          <w:rStyle w:val="FootnoteReference"/>
          <w:sz w:val="24"/>
          <w:szCs w:val="24"/>
        </w:rPr>
        <w:footnoteReference w:id="9"/>
      </w:r>
      <w:r w:rsidR="00BC3BB0" w:rsidRPr="00803F49">
        <w:rPr>
          <w:sz w:val="24"/>
          <w:szCs w:val="24"/>
        </w:rPr>
        <w:t xml:space="preserve">  </w:t>
      </w:r>
      <w:r w:rsidR="00DC6907" w:rsidRPr="00803F49">
        <w:rPr>
          <w:sz w:val="24"/>
          <w:szCs w:val="24"/>
        </w:rPr>
        <w:t xml:space="preserve">In China, officials have confirmed </w:t>
      </w:r>
      <w:r w:rsidR="00DC6907">
        <w:rPr>
          <w:sz w:val="24"/>
          <w:szCs w:val="24"/>
        </w:rPr>
        <w:t xml:space="preserve">COVID-19 </w:t>
      </w:r>
      <w:r w:rsidR="00DC6907" w:rsidRPr="00803F49">
        <w:rPr>
          <w:sz w:val="24"/>
          <w:szCs w:val="24"/>
        </w:rPr>
        <w:t>spreading at a rapid pace in Chinese prisons, reporting 500 cases.</w:t>
      </w:r>
      <w:r w:rsidR="00DC6907" w:rsidRPr="00803F49">
        <w:rPr>
          <w:rStyle w:val="FootnoteReference"/>
          <w:sz w:val="24"/>
          <w:szCs w:val="24"/>
        </w:rPr>
        <w:footnoteReference w:id="10"/>
      </w:r>
      <w:r w:rsidR="00DC6907" w:rsidRPr="00803F49">
        <w:rPr>
          <w:sz w:val="24"/>
          <w:szCs w:val="24"/>
        </w:rPr>
        <w:t xml:space="preserve">  </w:t>
      </w:r>
    </w:p>
    <w:p w14:paraId="06036F25" w14:textId="5F05DB55" w:rsidR="00DC6907" w:rsidRDefault="00DC6907" w:rsidP="004D10D9">
      <w:pPr>
        <w:pStyle w:val="NoSpacing"/>
        <w:spacing w:line="480" w:lineRule="auto"/>
        <w:ind w:firstLine="720"/>
        <w:rPr>
          <w:sz w:val="24"/>
          <w:szCs w:val="24"/>
        </w:rPr>
      </w:pPr>
      <w:r>
        <w:rPr>
          <w:sz w:val="24"/>
          <w:szCs w:val="24"/>
        </w:rPr>
        <w:t>Governments worldwide are releasing detaine</w:t>
      </w:r>
      <w:r w:rsidR="000C527D">
        <w:rPr>
          <w:sz w:val="24"/>
          <w:szCs w:val="24"/>
        </w:rPr>
        <w:t>d people</w:t>
      </w:r>
      <w:r>
        <w:rPr>
          <w:sz w:val="24"/>
          <w:szCs w:val="24"/>
        </w:rPr>
        <w:t xml:space="preserve"> to slow the spread of the virus.  Britain plans to grant temporary release to about 4,000 </w:t>
      </w:r>
      <w:r w:rsidR="00DC07A6">
        <w:rPr>
          <w:sz w:val="24"/>
          <w:szCs w:val="24"/>
        </w:rPr>
        <w:t>people in prison</w:t>
      </w:r>
      <w:r>
        <w:rPr>
          <w:sz w:val="24"/>
          <w:szCs w:val="24"/>
        </w:rPr>
        <w:t>.</w:t>
      </w:r>
      <w:r>
        <w:rPr>
          <w:rStyle w:val="FootnoteReference"/>
          <w:sz w:val="24"/>
          <w:szCs w:val="24"/>
        </w:rPr>
        <w:footnoteReference w:id="11"/>
      </w:r>
      <w:r w:rsidRPr="00803F49">
        <w:rPr>
          <w:sz w:val="24"/>
          <w:szCs w:val="24"/>
        </w:rPr>
        <w:t xml:space="preserve"> </w:t>
      </w:r>
      <w:r>
        <w:rPr>
          <w:sz w:val="24"/>
          <w:szCs w:val="24"/>
        </w:rPr>
        <w:t xml:space="preserve">France plans to release 5,000 </w:t>
      </w:r>
      <w:r w:rsidR="00DC07A6">
        <w:rPr>
          <w:sz w:val="24"/>
          <w:szCs w:val="24"/>
        </w:rPr>
        <w:t>people</w:t>
      </w:r>
      <w:r>
        <w:rPr>
          <w:sz w:val="24"/>
          <w:szCs w:val="24"/>
        </w:rPr>
        <w:t xml:space="preserve">; and Germany’s most populous state will release 1,000 </w:t>
      </w:r>
      <w:r w:rsidR="00DC07A6">
        <w:rPr>
          <w:sz w:val="24"/>
          <w:szCs w:val="24"/>
        </w:rPr>
        <w:t>people</w:t>
      </w:r>
      <w:r>
        <w:rPr>
          <w:sz w:val="24"/>
          <w:szCs w:val="24"/>
        </w:rPr>
        <w:t>.</w:t>
      </w:r>
      <w:r>
        <w:rPr>
          <w:rStyle w:val="FootnoteReference"/>
          <w:sz w:val="24"/>
          <w:szCs w:val="24"/>
        </w:rPr>
        <w:footnoteReference w:id="12"/>
      </w:r>
      <w:r w:rsidRPr="00803F49">
        <w:rPr>
          <w:sz w:val="24"/>
          <w:szCs w:val="24"/>
        </w:rPr>
        <w:t xml:space="preserve"> </w:t>
      </w:r>
      <w:r w:rsidR="004D10D9" w:rsidRPr="00803F49">
        <w:rPr>
          <w:sz w:val="24"/>
          <w:szCs w:val="24"/>
        </w:rPr>
        <w:t>Secretary of State Mike Pompeo has called for Iran to release Americans detained there because of the “deeply troubling” “[r]</w:t>
      </w:r>
      <w:proofErr w:type="spellStart"/>
      <w:r w:rsidR="004D10D9" w:rsidRPr="00803F49">
        <w:rPr>
          <w:sz w:val="24"/>
          <w:szCs w:val="24"/>
        </w:rPr>
        <w:t>eports</w:t>
      </w:r>
      <w:proofErr w:type="spellEnd"/>
      <w:r w:rsidR="004D10D9" w:rsidRPr="00803F49">
        <w:rPr>
          <w:sz w:val="24"/>
          <w:szCs w:val="24"/>
        </w:rPr>
        <w:t xml:space="preserve"> that COVID-19 has spread to Iranian prisons,” noting that “[t]heir detention amid increasingly deteriorating conditions defies basic human decency.”</w:t>
      </w:r>
      <w:r w:rsidR="004D10D9" w:rsidRPr="00803F49">
        <w:rPr>
          <w:rStyle w:val="FootnoteReference"/>
          <w:sz w:val="24"/>
          <w:szCs w:val="24"/>
        </w:rPr>
        <w:footnoteReference w:id="13"/>
      </w:r>
      <w:r w:rsidR="004D10D9" w:rsidRPr="00803F49">
        <w:rPr>
          <w:sz w:val="24"/>
          <w:szCs w:val="24"/>
        </w:rPr>
        <w:t xml:space="preserve"> Courts across Iran have granted</w:t>
      </w:r>
      <w:r w:rsidR="00DC07A6">
        <w:rPr>
          <w:sz w:val="24"/>
          <w:szCs w:val="24"/>
        </w:rPr>
        <w:t xml:space="preserve"> furlough to</w:t>
      </w:r>
      <w:r w:rsidR="004D10D9" w:rsidRPr="00803F49">
        <w:rPr>
          <w:sz w:val="24"/>
          <w:szCs w:val="24"/>
        </w:rPr>
        <w:t xml:space="preserve"> 100,000 </w:t>
      </w:r>
      <w:r w:rsidR="00DC07A6">
        <w:rPr>
          <w:sz w:val="24"/>
          <w:szCs w:val="24"/>
        </w:rPr>
        <w:t>people in prison</w:t>
      </w:r>
      <w:r w:rsidR="004D10D9" w:rsidRPr="00803F49">
        <w:rPr>
          <w:sz w:val="24"/>
          <w:szCs w:val="24"/>
        </w:rPr>
        <w:t xml:space="preserve"> as part of the measures to contain coronavirus across the country,</w:t>
      </w:r>
      <w:r w:rsidR="004D10D9" w:rsidRPr="00803F49">
        <w:rPr>
          <w:rStyle w:val="FootnoteReference"/>
          <w:sz w:val="24"/>
          <w:szCs w:val="24"/>
        </w:rPr>
        <w:footnoteReference w:id="14"/>
      </w:r>
      <w:r w:rsidR="004D10D9" w:rsidRPr="00803F49">
        <w:rPr>
          <w:sz w:val="24"/>
          <w:szCs w:val="24"/>
        </w:rPr>
        <w:t xml:space="preserve"> almost half of the country’s entire prison population.</w:t>
      </w:r>
      <w:r w:rsidR="004D10D9" w:rsidRPr="00803F49">
        <w:rPr>
          <w:rStyle w:val="FootnoteReference"/>
          <w:sz w:val="24"/>
          <w:szCs w:val="24"/>
        </w:rPr>
        <w:footnoteReference w:id="15"/>
      </w:r>
      <w:r w:rsidR="004D10D9" w:rsidRPr="00803F49">
        <w:rPr>
          <w:sz w:val="24"/>
          <w:szCs w:val="24"/>
        </w:rPr>
        <w:t xml:space="preserve"> Even countries with dysfunctional justice systems, including Afghanistan</w:t>
      </w:r>
      <w:r w:rsidR="004D10D9" w:rsidRPr="00803F49">
        <w:rPr>
          <w:rStyle w:val="FootnoteReference"/>
          <w:sz w:val="24"/>
          <w:szCs w:val="24"/>
        </w:rPr>
        <w:footnoteReference w:id="16"/>
      </w:r>
      <w:r w:rsidR="004D10D9" w:rsidRPr="00803F49">
        <w:rPr>
          <w:sz w:val="24"/>
          <w:szCs w:val="24"/>
        </w:rPr>
        <w:t xml:space="preserve"> and Haiti,</w:t>
      </w:r>
      <w:r w:rsidR="004D10D9" w:rsidRPr="00803F49">
        <w:rPr>
          <w:rStyle w:val="FootnoteReference"/>
          <w:sz w:val="24"/>
          <w:szCs w:val="24"/>
        </w:rPr>
        <w:footnoteReference w:id="17"/>
      </w:r>
      <w:r w:rsidR="004D10D9" w:rsidRPr="00803F49">
        <w:rPr>
          <w:sz w:val="24"/>
          <w:szCs w:val="24"/>
        </w:rPr>
        <w:t xml:space="preserve"> are releasing or planning to </w:t>
      </w:r>
      <w:r w:rsidR="004D10D9" w:rsidRPr="00803F49">
        <w:rPr>
          <w:sz w:val="24"/>
          <w:szCs w:val="24"/>
        </w:rPr>
        <w:lastRenderedPageBreak/>
        <w:t xml:space="preserve">release </w:t>
      </w:r>
      <w:r w:rsidR="00DC07A6">
        <w:rPr>
          <w:sz w:val="24"/>
          <w:szCs w:val="24"/>
        </w:rPr>
        <w:t>people</w:t>
      </w:r>
      <w:r w:rsidR="00DC07A6" w:rsidRPr="00803F49">
        <w:rPr>
          <w:sz w:val="24"/>
          <w:szCs w:val="24"/>
        </w:rPr>
        <w:t xml:space="preserve"> </w:t>
      </w:r>
      <w:r w:rsidR="004D10D9" w:rsidRPr="00803F49">
        <w:rPr>
          <w:sz w:val="24"/>
          <w:szCs w:val="24"/>
        </w:rPr>
        <w:t xml:space="preserve">from jails and prisons as COVID-19 bears down. </w:t>
      </w:r>
    </w:p>
    <w:p w14:paraId="25FFC6E3" w14:textId="0D8B175A" w:rsidR="009427FD" w:rsidRPr="00803F49" w:rsidRDefault="00DC6907" w:rsidP="004D10D9">
      <w:pPr>
        <w:pStyle w:val="NoSpacing"/>
        <w:spacing w:line="480" w:lineRule="auto"/>
        <w:ind w:firstLine="720"/>
        <w:rPr>
          <w:sz w:val="24"/>
          <w:szCs w:val="24"/>
        </w:rPr>
      </w:pPr>
      <w:r>
        <w:rPr>
          <w:sz w:val="24"/>
          <w:szCs w:val="24"/>
        </w:rPr>
        <w:t>In the United States, Attorney General William Barr recognized that “we are experiencing significant levels of infection at several of our [Bureau of Prisons] facilities.”</w:t>
      </w:r>
      <w:r>
        <w:rPr>
          <w:rStyle w:val="FootnoteReference"/>
          <w:sz w:val="24"/>
          <w:szCs w:val="24"/>
        </w:rPr>
        <w:footnoteReference w:id="18"/>
      </w:r>
      <w:r>
        <w:rPr>
          <w:sz w:val="24"/>
          <w:szCs w:val="24"/>
        </w:rPr>
        <w:t xml:space="preserve"> </w:t>
      </w:r>
      <w:r w:rsidR="00C91288">
        <w:rPr>
          <w:sz w:val="24"/>
          <w:szCs w:val="24"/>
        </w:rPr>
        <w:t>Because these “</w:t>
      </w:r>
      <w:r>
        <w:rPr>
          <w:sz w:val="24"/>
          <w:szCs w:val="24"/>
        </w:rPr>
        <w:t>emergency conditions</w:t>
      </w:r>
      <w:r w:rsidR="00C91288">
        <w:rPr>
          <w:sz w:val="24"/>
          <w:szCs w:val="24"/>
        </w:rPr>
        <w:t>”</w:t>
      </w:r>
      <w:r>
        <w:rPr>
          <w:sz w:val="24"/>
          <w:szCs w:val="24"/>
        </w:rPr>
        <w:t xml:space="preserve"> are</w:t>
      </w:r>
      <w:r w:rsidR="00C91288">
        <w:rPr>
          <w:sz w:val="24"/>
          <w:szCs w:val="24"/>
        </w:rPr>
        <w:t xml:space="preserve"> “</w:t>
      </w:r>
      <w:r>
        <w:rPr>
          <w:sz w:val="24"/>
          <w:szCs w:val="24"/>
        </w:rPr>
        <w:t>materially affecting the functioning of the Bureau of Prisons</w:t>
      </w:r>
      <w:r w:rsidR="00C91288">
        <w:rPr>
          <w:sz w:val="24"/>
          <w:szCs w:val="24"/>
        </w:rPr>
        <w:t>,</w:t>
      </w:r>
      <w:r>
        <w:rPr>
          <w:sz w:val="24"/>
          <w:szCs w:val="24"/>
        </w:rPr>
        <w:t>”</w:t>
      </w:r>
      <w:r w:rsidR="00C91288">
        <w:rPr>
          <w:sz w:val="24"/>
          <w:szCs w:val="24"/>
        </w:rPr>
        <w:t xml:space="preserve"> the Attorney General directed the Bureau</w:t>
      </w:r>
      <w:r>
        <w:rPr>
          <w:sz w:val="24"/>
          <w:szCs w:val="24"/>
        </w:rPr>
        <w:t xml:space="preserve"> </w:t>
      </w:r>
      <w:r w:rsidR="00C91288">
        <w:rPr>
          <w:sz w:val="24"/>
          <w:szCs w:val="24"/>
        </w:rPr>
        <w:t>to</w:t>
      </w:r>
      <w:r>
        <w:rPr>
          <w:sz w:val="24"/>
          <w:szCs w:val="24"/>
        </w:rPr>
        <w:t xml:space="preserve"> “expand the cohort of inmates” eligible for release</w:t>
      </w:r>
      <w:r w:rsidR="00DE364D">
        <w:rPr>
          <w:sz w:val="24"/>
          <w:szCs w:val="24"/>
        </w:rPr>
        <w:t>: “Given the speed at which this disease has spread through the general public, it is clear that time is of the essence.”</w:t>
      </w:r>
      <w:r>
        <w:rPr>
          <w:rStyle w:val="FootnoteReference"/>
          <w:sz w:val="24"/>
          <w:szCs w:val="24"/>
        </w:rPr>
        <w:footnoteReference w:id="19"/>
      </w:r>
      <w:r>
        <w:rPr>
          <w:sz w:val="24"/>
          <w:szCs w:val="24"/>
        </w:rPr>
        <w:t xml:space="preserve"> </w:t>
      </w:r>
      <w:r w:rsidR="00C91288">
        <w:rPr>
          <w:sz w:val="24"/>
          <w:szCs w:val="24"/>
        </w:rPr>
        <w:t xml:space="preserve">Similarly, the State of </w:t>
      </w:r>
      <w:r>
        <w:rPr>
          <w:sz w:val="24"/>
          <w:szCs w:val="24"/>
        </w:rPr>
        <w:t xml:space="preserve">California is planning to release 3,500 </w:t>
      </w:r>
      <w:r w:rsidR="00DC07A6">
        <w:rPr>
          <w:sz w:val="24"/>
          <w:szCs w:val="24"/>
        </w:rPr>
        <w:t xml:space="preserve">people from prisons </w:t>
      </w:r>
      <w:r>
        <w:rPr>
          <w:sz w:val="24"/>
          <w:szCs w:val="24"/>
        </w:rPr>
        <w:t>to slow the spread of the coronavirus.</w:t>
      </w:r>
      <w:r>
        <w:rPr>
          <w:rStyle w:val="FootnoteReference"/>
          <w:sz w:val="24"/>
          <w:szCs w:val="24"/>
        </w:rPr>
        <w:footnoteReference w:id="20"/>
      </w:r>
      <w:r>
        <w:rPr>
          <w:sz w:val="24"/>
          <w:szCs w:val="24"/>
        </w:rPr>
        <w:t xml:space="preserve"> New York City has released </w:t>
      </w:r>
      <w:r w:rsidR="00C91288">
        <w:rPr>
          <w:sz w:val="24"/>
          <w:szCs w:val="24"/>
        </w:rPr>
        <w:t>about 1,000</w:t>
      </w:r>
      <w:r>
        <w:rPr>
          <w:sz w:val="24"/>
          <w:szCs w:val="24"/>
        </w:rPr>
        <w:t xml:space="preserve"> </w:t>
      </w:r>
      <w:r w:rsidR="00DC07A6">
        <w:rPr>
          <w:sz w:val="24"/>
          <w:szCs w:val="24"/>
        </w:rPr>
        <w:t xml:space="preserve">people from jails </w:t>
      </w:r>
      <w:r w:rsidR="00C91288">
        <w:rPr>
          <w:sz w:val="24"/>
          <w:szCs w:val="24"/>
        </w:rPr>
        <w:t>to date</w:t>
      </w:r>
      <w:r>
        <w:rPr>
          <w:sz w:val="24"/>
          <w:szCs w:val="24"/>
        </w:rPr>
        <w:t>.</w:t>
      </w:r>
      <w:r>
        <w:rPr>
          <w:rStyle w:val="FootnoteReference"/>
          <w:sz w:val="24"/>
          <w:szCs w:val="24"/>
        </w:rPr>
        <w:footnoteReference w:id="21"/>
      </w:r>
      <w:r w:rsidR="004D10D9">
        <w:rPr>
          <w:sz w:val="24"/>
          <w:szCs w:val="24"/>
        </w:rPr>
        <w:t xml:space="preserve"> Similarly,</w:t>
      </w:r>
      <w:r w:rsidR="00613BB2" w:rsidRPr="00803F49">
        <w:rPr>
          <w:sz w:val="24"/>
          <w:szCs w:val="24"/>
        </w:rPr>
        <w:t xml:space="preserve"> jurisdictions </w:t>
      </w:r>
      <w:r w:rsidR="004D10D9">
        <w:rPr>
          <w:sz w:val="24"/>
          <w:szCs w:val="24"/>
        </w:rPr>
        <w:t xml:space="preserve">around the country </w:t>
      </w:r>
      <w:r w:rsidR="00BE1C52" w:rsidRPr="00803F49">
        <w:rPr>
          <w:sz w:val="24"/>
          <w:szCs w:val="24"/>
        </w:rPr>
        <w:t xml:space="preserve">are </w:t>
      </w:r>
      <w:r w:rsidR="000E289B" w:rsidRPr="00803F49">
        <w:rPr>
          <w:sz w:val="24"/>
          <w:szCs w:val="24"/>
        </w:rPr>
        <w:t xml:space="preserve">refusing the admission of individuals arrested on non-violent </w:t>
      </w:r>
      <w:r w:rsidR="00613BB2" w:rsidRPr="00803F49">
        <w:rPr>
          <w:sz w:val="24"/>
          <w:szCs w:val="24"/>
        </w:rPr>
        <w:t>misdemeanor charges</w:t>
      </w:r>
      <w:r w:rsidR="004D10D9">
        <w:rPr>
          <w:sz w:val="24"/>
          <w:szCs w:val="24"/>
        </w:rPr>
        <w:t xml:space="preserve"> in order to </w:t>
      </w:r>
      <w:r w:rsidR="004D10D9" w:rsidRPr="00803F49">
        <w:rPr>
          <w:sz w:val="24"/>
          <w:szCs w:val="24"/>
        </w:rPr>
        <w:t>reduce jail populations</w:t>
      </w:r>
      <w:r w:rsidR="00613BB2" w:rsidRPr="00803F49">
        <w:rPr>
          <w:sz w:val="24"/>
          <w:szCs w:val="24"/>
        </w:rPr>
        <w:t>.</w:t>
      </w:r>
      <w:r w:rsidR="00613BB2" w:rsidRPr="00803F49">
        <w:rPr>
          <w:rStyle w:val="FootnoteReference"/>
          <w:sz w:val="24"/>
          <w:szCs w:val="24"/>
        </w:rPr>
        <w:footnoteReference w:id="22"/>
      </w:r>
      <w:r w:rsidR="00613BB2" w:rsidRPr="00803F49">
        <w:rPr>
          <w:sz w:val="24"/>
          <w:szCs w:val="24"/>
        </w:rPr>
        <w:t xml:space="preserve"> </w:t>
      </w:r>
      <w:r w:rsidR="00E5328B" w:rsidRPr="00803F49">
        <w:rPr>
          <w:sz w:val="24"/>
          <w:szCs w:val="24"/>
        </w:rPr>
        <w:t xml:space="preserve">State </w:t>
      </w:r>
      <w:r w:rsidR="00EA0C92" w:rsidRPr="00803F49">
        <w:rPr>
          <w:sz w:val="24"/>
          <w:szCs w:val="24"/>
        </w:rPr>
        <w:t xml:space="preserve">courts across the country </w:t>
      </w:r>
      <w:r w:rsidR="00E5328B" w:rsidRPr="00803F49">
        <w:rPr>
          <w:sz w:val="24"/>
          <w:szCs w:val="24"/>
        </w:rPr>
        <w:t xml:space="preserve">have </w:t>
      </w:r>
      <w:r w:rsidR="00540DDA" w:rsidRPr="00803F49">
        <w:rPr>
          <w:sz w:val="24"/>
          <w:szCs w:val="24"/>
        </w:rPr>
        <w:t xml:space="preserve">instructed </w:t>
      </w:r>
      <w:r w:rsidR="00E5328B" w:rsidRPr="00803F49">
        <w:rPr>
          <w:sz w:val="24"/>
          <w:szCs w:val="24"/>
        </w:rPr>
        <w:t xml:space="preserve">judges to </w:t>
      </w:r>
      <w:r w:rsidR="006939DC" w:rsidRPr="00803F49">
        <w:rPr>
          <w:sz w:val="24"/>
          <w:szCs w:val="24"/>
        </w:rPr>
        <w:t xml:space="preserve">release </w:t>
      </w:r>
      <w:r w:rsidR="000C527D">
        <w:rPr>
          <w:sz w:val="24"/>
          <w:szCs w:val="24"/>
        </w:rPr>
        <w:t>people from prison</w:t>
      </w:r>
      <w:r w:rsidR="000C527D" w:rsidRPr="00803F49">
        <w:rPr>
          <w:sz w:val="24"/>
          <w:szCs w:val="24"/>
        </w:rPr>
        <w:t xml:space="preserve"> </w:t>
      </w:r>
      <w:r w:rsidR="006939DC" w:rsidRPr="00803F49">
        <w:rPr>
          <w:sz w:val="24"/>
          <w:szCs w:val="24"/>
        </w:rPr>
        <w:t xml:space="preserve">and </w:t>
      </w:r>
      <w:r w:rsidR="00E5328B" w:rsidRPr="00803F49">
        <w:rPr>
          <w:sz w:val="24"/>
          <w:szCs w:val="24"/>
        </w:rPr>
        <w:t xml:space="preserve">reconsider </w:t>
      </w:r>
      <w:r w:rsidR="006939DC" w:rsidRPr="00803F49">
        <w:rPr>
          <w:sz w:val="24"/>
          <w:szCs w:val="24"/>
        </w:rPr>
        <w:t>detention</w:t>
      </w:r>
      <w:r w:rsidR="00E5328B" w:rsidRPr="00803F49">
        <w:rPr>
          <w:sz w:val="24"/>
          <w:szCs w:val="24"/>
        </w:rPr>
        <w:t xml:space="preserve"> in the face of this global pandemic. </w:t>
      </w:r>
      <w:r w:rsidR="009427FD" w:rsidRPr="00803F49">
        <w:rPr>
          <w:i/>
          <w:iCs/>
          <w:sz w:val="24"/>
          <w:szCs w:val="24"/>
        </w:rPr>
        <w:t>See</w:t>
      </w:r>
      <w:r w:rsidR="006939DC" w:rsidRPr="00803F49">
        <w:rPr>
          <w:i/>
          <w:iCs/>
          <w:sz w:val="24"/>
          <w:szCs w:val="24"/>
        </w:rPr>
        <w:t>, e.g.,</w:t>
      </w:r>
      <w:r w:rsidR="009427FD" w:rsidRPr="00803F49">
        <w:rPr>
          <w:i/>
          <w:iCs/>
          <w:sz w:val="24"/>
          <w:szCs w:val="24"/>
        </w:rPr>
        <w:t xml:space="preserve"> Karr v. State</w:t>
      </w:r>
      <w:r w:rsidR="00540DDA" w:rsidRPr="00803F49">
        <w:rPr>
          <w:color w:val="000000"/>
          <w:sz w:val="24"/>
          <w:szCs w:val="24"/>
        </w:rPr>
        <w:t>, No. A-13630, 2020 WL 1456469, at *3 (Alaska Ct. App. Mar. 24, 2020)</w:t>
      </w:r>
      <w:r w:rsidR="006939DC" w:rsidRPr="00803F49">
        <w:rPr>
          <w:sz w:val="24"/>
          <w:szCs w:val="24"/>
        </w:rPr>
        <w:t xml:space="preserve"> </w:t>
      </w:r>
      <w:r w:rsidR="009427FD" w:rsidRPr="00803F49">
        <w:rPr>
          <w:sz w:val="24"/>
          <w:szCs w:val="24"/>
        </w:rPr>
        <w:t>(“[C]</w:t>
      </w:r>
      <w:proofErr w:type="spellStart"/>
      <w:r w:rsidR="009427FD" w:rsidRPr="00803F49">
        <w:rPr>
          <w:sz w:val="24"/>
          <w:szCs w:val="24"/>
        </w:rPr>
        <w:t>ourts</w:t>
      </w:r>
      <w:proofErr w:type="spellEnd"/>
      <w:r w:rsidR="009427FD" w:rsidRPr="00803F49">
        <w:rPr>
          <w:sz w:val="24"/>
          <w:szCs w:val="24"/>
        </w:rPr>
        <w:t xml:space="preserve"> must now balance the public health safety risk posed by the continued incarceration of pre-trial defendants </w:t>
      </w:r>
      <w:r w:rsidR="009427FD" w:rsidRPr="00803F49">
        <w:rPr>
          <w:sz w:val="24"/>
          <w:szCs w:val="24"/>
        </w:rPr>
        <w:lastRenderedPageBreak/>
        <w:t>in crowded correctional facilities with any community safety risk posed by a defendant’s release. Additionally, courts must re-evaluate the flight risk and safety risk posed by releasing a defendant into a community which now has fewer open businesses, fewer opportunities, for travel, and more people staying at home.”)</w:t>
      </w:r>
      <w:r w:rsidR="00540DDA" w:rsidRPr="00803F49">
        <w:rPr>
          <w:sz w:val="24"/>
          <w:szCs w:val="24"/>
        </w:rPr>
        <w:t>;</w:t>
      </w:r>
      <w:r w:rsidR="00B22F8A" w:rsidRPr="00803F49">
        <w:rPr>
          <w:rStyle w:val="FootnoteReference"/>
          <w:sz w:val="24"/>
          <w:szCs w:val="24"/>
        </w:rPr>
        <w:footnoteReference w:id="23"/>
      </w:r>
      <w:r w:rsidR="00540DDA" w:rsidRPr="00803F49">
        <w:rPr>
          <w:sz w:val="24"/>
          <w:szCs w:val="24"/>
        </w:rPr>
        <w:t xml:space="preserve"> </w:t>
      </w:r>
      <w:r w:rsidR="003026EB" w:rsidRPr="00803F49">
        <w:rPr>
          <w:sz w:val="24"/>
          <w:szCs w:val="24"/>
        </w:rPr>
        <w:t>Mem. from Mike McGrath, Chief Justice, Mont. Sup. Ct., to Montana Courts of Limited Jurisdiction Judges (Mar. 20, 2020) (“Because of the high risk of transmittal of COVID-19, not only to prisoners within correctional facilities but staff and defense attorneys as well, we ask that you review your jail rosters and release, without bond, as many prisoners as you are able, especially those being held for non-violent offenses.”)</w:t>
      </w:r>
      <w:r w:rsidR="00EA0C92" w:rsidRPr="00803F49">
        <w:rPr>
          <w:sz w:val="24"/>
          <w:szCs w:val="24"/>
        </w:rPr>
        <w:t>;</w:t>
      </w:r>
      <w:r w:rsidR="00B22F8A" w:rsidRPr="00803F49">
        <w:rPr>
          <w:rStyle w:val="FootnoteReference"/>
          <w:sz w:val="24"/>
          <w:szCs w:val="24"/>
        </w:rPr>
        <w:footnoteReference w:id="24"/>
      </w:r>
      <w:r w:rsidR="00EA0C92" w:rsidRPr="00803F49">
        <w:rPr>
          <w:sz w:val="24"/>
          <w:szCs w:val="24"/>
        </w:rPr>
        <w:t xml:space="preserve"> </w:t>
      </w:r>
      <w:r w:rsidR="006939DC" w:rsidRPr="00803F49">
        <w:rPr>
          <w:sz w:val="24"/>
          <w:szCs w:val="24"/>
        </w:rPr>
        <w:t>Mem. from Chief Justice Beatty, S.C. Sup. Ct., to Magistrates, Municipal Judges, and Summary Court Staff (Mar. 16, 2020) (“Any person charged with a non-capital crime shall be ordered released pending trial on his own recognizance without surety, unless an unreasonable danger to the community will result or the accused is an extreme flight risk.”).</w:t>
      </w:r>
      <w:r w:rsidR="006939DC" w:rsidRPr="00803F49">
        <w:rPr>
          <w:rStyle w:val="FootnoteReference"/>
          <w:sz w:val="24"/>
          <w:szCs w:val="24"/>
        </w:rPr>
        <w:footnoteReference w:id="25"/>
      </w:r>
    </w:p>
    <w:p w14:paraId="37183CE9" w14:textId="2C0B7D16" w:rsidR="006331B7" w:rsidRPr="006331B7" w:rsidRDefault="00E5328B" w:rsidP="006331B7">
      <w:pPr>
        <w:pStyle w:val="NoSpacing"/>
        <w:spacing w:line="480" w:lineRule="auto"/>
        <w:ind w:firstLine="720"/>
        <w:rPr>
          <w:i/>
          <w:iCs/>
          <w:color w:val="000000"/>
          <w:sz w:val="24"/>
          <w:szCs w:val="24"/>
        </w:rPr>
      </w:pPr>
      <w:r w:rsidRPr="00803F49">
        <w:rPr>
          <w:sz w:val="24"/>
          <w:szCs w:val="24"/>
        </w:rPr>
        <w:t xml:space="preserve">Likewise, </w:t>
      </w:r>
      <w:r w:rsidR="00803F49" w:rsidRPr="00803F49">
        <w:rPr>
          <w:sz w:val="24"/>
          <w:szCs w:val="24"/>
        </w:rPr>
        <w:t xml:space="preserve">as a result of the pandemic, </w:t>
      </w:r>
      <w:r w:rsidRPr="00803F49">
        <w:rPr>
          <w:sz w:val="24"/>
          <w:szCs w:val="24"/>
        </w:rPr>
        <w:t xml:space="preserve">individual judges have begun </w:t>
      </w:r>
      <w:r w:rsidRPr="00803F49">
        <w:rPr>
          <w:color w:val="000000"/>
          <w:sz w:val="24"/>
          <w:szCs w:val="24"/>
        </w:rPr>
        <w:t xml:space="preserve">granting bail where the law allows them to do so. </w:t>
      </w:r>
      <w:r w:rsidRPr="00803F49">
        <w:rPr>
          <w:i/>
          <w:iCs/>
          <w:color w:val="000000"/>
          <w:sz w:val="24"/>
          <w:szCs w:val="24"/>
        </w:rPr>
        <w:t xml:space="preserve">See, e.g., </w:t>
      </w:r>
      <w:r w:rsidR="00E473DF" w:rsidRPr="00803F49">
        <w:rPr>
          <w:i/>
          <w:iCs/>
          <w:color w:val="000000"/>
          <w:sz w:val="24"/>
          <w:szCs w:val="24"/>
        </w:rPr>
        <w:t xml:space="preserve">United States </w:t>
      </w:r>
      <w:r w:rsidR="00E473DF" w:rsidRPr="004243C0">
        <w:rPr>
          <w:i/>
          <w:iCs/>
          <w:color w:val="000000"/>
          <w:sz w:val="24"/>
          <w:szCs w:val="24"/>
        </w:rPr>
        <w:t xml:space="preserve">v. </w:t>
      </w:r>
      <w:r w:rsidR="00E473DF" w:rsidRPr="00803F49">
        <w:rPr>
          <w:i/>
          <w:iCs/>
          <w:color w:val="000000"/>
          <w:sz w:val="24"/>
          <w:szCs w:val="24"/>
        </w:rPr>
        <w:t>Chandler</w:t>
      </w:r>
      <w:r w:rsidR="00E473DF" w:rsidRPr="00803F49">
        <w:rPr>
          <w:color w:val="000000"/>
          <w:sz w:val="24"/>
          <w:szCs w:val="24"/>
        </w:rPr>
        <w:t xml:space="preserve">, </w:t>
      </w:r>
      <w:r w:rsidR="00E473DF" w:rsidRPr="004243C0">
        <w:rPr>
          <w:color w:val="000000"/>
          <w:sz w:val="24"/>
          <w:szCs w:val="24"/>
        </w:rPr>
        <w:t>No. 1:19-CR-867 (PAC), 2020 WL 1528120, at *2 (S.D.N.Y. Mar. 31, 2020)</w:t>
      </w:r>
      <w:r w:rsidR="00E473DF" w:rsidRPr="00803F49">
        <w:rPr>
          <w:color w:val="000000"/>
          <w:sz w:val="24"/>
          <w:szCs w:val="24"/>
        </w:rPr>
        <w:t xml:space="preserve">; </w:t>
      </w:r>
      <w:r w:rsidRPr="00803F49">
        <w:rPr>
          <w:i/>
          <w:iCs/>
          <w:color w:val="000000"/>
          <w:sz w:val="24"/>
          <w:szCs w:val="24"/>
        </w:rPr>
        <w:t>Stephens</w:t>
      </w:r>
      <w:r w:rsidRPr="00803F49">
        <w:rPr>
          <w:color w:val="000000"/>
          <w:sz w:val="24"/>
          <w:szCs w:val="24"/>
        </w:rPr>
        <w:t xml:space="preserve">, 2020 WL 1295155, at *3; </w:t>
      </w:r>
      <w:r w:rsidR="00803F49" w:rsidRPr="00E473DF">
        <w:rPr>
          <w:i/>
          <w:iCs/>
          <w:color w:val="000000"/>
          <w:sz w:val="24"/>
          <w:szCs w:val="24"/>
        </w:rPr>
        <w:t>Davis</w:t>
      </w:r>
      <w:r w:rsidR="00803F49" w:rsidRPr="00E473DF">
        <w:rPr>
          <w:color w:val="000000"/>
          <w:sz w:val="24"/>
          <w:szCs w:val="24"/>
        </w:rPr>
        <w:t>, 2020 WL 1529158, at *3</w:t>
      </w:r>
      <w:r w:rsidR="00803F49" w:rsidRPr="00803F49">
        <w:rPr>
          <w:color w:val="000000"/>
          <w:sz w:val="24"/>
          <w:szCs w:val="24"/>
        </w:rPr>
        <w:t xml:space="preserve">; </w:t>
      </w:r>
      <w:r w:rsidRPr="00803F49">
        <w:rPr>
          <w:i/>
          <w:iCs/>
          <w:color w:val="000000"/>
          <w:sz w:val="24"/>
          <w:szCs w:val="24"/>
        </w:rPr>
        <w:t>Matter of Extradition of Toledo Manrique</w:t>
      </w:r>
      <w:r w:rsidRPr="00803F49">
        <w:rPr>
          <w:color w:val="000000"/>
          <w:sz w:val="24"/>
          <w:szCs w:val="24"/>
        </w:rPr>
        <w:t>, No. 19-MJ-71055-MAG-1 (TSH), 2020 WL 1307109, at *1 (N.D. Cal. Mar. 19, 2020)</w:t>
      </w:r>
      <w:r w:rsidR="00803F49" w:rsidRPr="00803F49">
        <w:rPr>
          <w:color w:val="000000"/>
          <w:sz w:val="24"/>
          <w:szCs w:val="24"/>
        </w:rPr>
        <w:t>. Indeed, courts continue to find pretrial release necessary “for the compelling reason that it will protect Defendant, the prison population, and the wider community during the COVID-19 pandemic” –- “[e]</w:t>
      </w:r>
      <w:proofErr w:type="spellStart"/>
      <w:r w:rsidR="00803F49" w:rsidRPr="00803F49">
        <w:rPr>
          <w:color w:val="000000"/>
          <w:sz w:val="24"/>
          <w:szCs w:val="24"/>
        </w:rPr>
        <w:t>ven</w:t>
      </w:r>
      <w:proofErr w:type="spellEnd"/>
      <w:r w:rsidR="00803F49" w:rsidRPr="00803F49">
        <w:rPr>
          <w:color w:val="000000"/>
          <w:sz w:val="24"/>
          <w:szCs w:val="24"/>
        </w:rPr>
        <w:t xml:space="preserve"> if Defendant </w:t>
      </w:r>
      <w:r w:rsidR="00803F49" w:rsidRPr="00803F49">
        <w:rPr>
          <w:color w:val="000000"/>
          <w:sz w:val="24"/>
          <w:szCs w:val="24"/>
        </w:rPr>
        <w:lastRenderedPageBreak/>
        <w:t xml:space="preserve">did not have a heightened susceptibility to COVID-19.” </w:t>
      </w:r>
      <w:r w:rsidR="00803F49" w:rsidRPr="00803F49">
        <w:rPr>
          <w:i/>
          <w:iCs/>
          <w:color w:val="000000"/>
          <w:sz w:val="24"/>
          <w:szCs w:val="24"/>
        </w:rPr>
        <w:t>United States v. Kennedy,</w:t>
      </w:r>
      <w:r w:rsidR="00803F49" w:rsidRPr="00803F49">
        <w:rPr>
          <w:color w:val="000000"/>
          <w:sz w:val="24"/>
          <w:szCs w:val="24"/>
        </w:rPr>
        <w:t xml:space="preserve"> No. 18-20315, 2020 WL 1493481, at *4 (E.D. Mich. Mar. 27, 2020), </w:t>
      </w:r>
      <w:r w:rsidR="00803F49" w:rsidRPr="00803F49">
        <w:rPr>
          <w:i/>
          <w:iCs/>
          <w:color w:val="000000"/>
          <w:sz w:val="24"/>
          <w:szCs w:val="24"/>
        </w:rPr>
        <w:t>reconsideration denied</w:t>
      </w:r>
      <w:r w:rsidR="00803F49" w:rsidRPr="00803F49">
        <w:rPr>
          <w:color w:val="000000"/>
          <w:sz w:val="24"/>
          <w:szCs w:val="24"/>
        </w:rPr>
        <w:t xml:space="preserve">, No. 18-20315, 2020 WL 1547878 (E.D. Mich. Apr. 1, 2020); </w:t>
      </w:r>
      <w:r w:rsidR="00803F49" w:rsidRPr="00803F49">
        <w:rPr>
          <w:i/>
          <w:iCs/>
          <w:color w:val="000000"/>
          <w:sz w:val="24"/>
          <w:szCs w:val="24"/>
        </w:rPr>
        <w:t xml:space="preserve">see also </w:t>
      </w:r>
      <w:r w:rsidR="006331B7" w:rsidRPr="006331B7">
        <w:rPr>
          <w:i/>
          <w:iCs/>
          <w:color w:val="000000"/>
        </w:rPr>
        <w:t xml:space="preserve">United States v. </w:t>
      </w:r>
      <w:proofErr w:type="spellStart"/>
      <w:r w:rsidR="006331B7" w:rsidRPr="00473811">
        <w:rPr>
          <w:i/>
          <w:iCs/>
          <w:color w:val="000000"/>
        </w:rPr>
        <w:t>Garcha</w:t>
      </w:r>
      <w:proofErr w:type="spellEnd"/>
      <w:r w:rsidR="006331B7" w:rsidRPr="006331B7">
        <w:rPr>
          <w:color w:val="000000"/>
        </w:rPr>
        <w:t>, No. 19</w:t>
      </w:r>
      <w:r w:rsidR="006331B7">
        <w:rPr>
          <w:color w:val="000000"/>
        </w:rPr>
        <w:t>-</w:t>
      </w:r>
      <w:r w:rsidR="006331B7" w:rsidRPr="006331B7">
        <w:rPr>
          <w:color w:val="000000"/>
        </w:rPr>
        <w:t>CR</w:t>
      </w:r>
      <w:r w:rsidR="006331B7">
        <w:rPr>
          <w:color w:val="000000"/>
        </w:rPr>
        <w:t>-</w:t>
      </w:r>
      <w:r w:rsidR="006331B7" w:rsidRPr="006331B7">
        <w:rPr>
          <w:color w:val="000000"/>
        </w:rPr>
        <w:t>00663</w:t>
      </w:r>
      <w:r w:rsidR="006331B7">
        <w:rPr>
          <w:color w:val="000000"/>
        </w:rPr>
        <w:t>-</w:t>
      </w:r>
      <w:r w:rsidR="006331B7" w:rsidRPr="006331B7">
        <w:rPr>
          <w:color w:val="000000"/>
        </w:rPr>
        <w:t>EJD</w:t>
      </w:r>
      <w:r w:rsidR="006331B7">
        <w:rPr>
          <w:color w:val="000000"/>
        </w:rPr>
        <w:t>-</w:t>
      </w:r>
      <w:r w:rsidR="006331B7" w:rsidRPr="006331B7">
        <w:rPr>
          <w:color w:val="000000"/>
        </w:rPr>
        <w:t>1</w:t>
      </w:r>
      <w:r w:rsidR="006331B7">
        <w:rPr>
          <w:color w:val="000000"/>
        </w:rPr>
        <w:t xml:space="preserve"> (</w:t>
      </w:r>
      <w:r w:rsidR="006331B7" w:rsidRPr="006331B7">
        <w:rPr>
          <w:color w:val="000000"/>
        </w:rPr>
        <w:t>VKD</w:t>
      </w:r>
      <w:r w:rsidR="006331B7">
        <w:rPr>
          <w:color w:val="000000"/>
        </w:rPr>
        <w:t>)</w:t>
      </w:r>
      <w:r w:rsidR="006331B7" w:rsidRPr="006331B7">
        <w:rPr>
          <w:color w:val="000000"/>
        </w:rPr>
        <w:t>, 2020 WL 1593942, at *</w:t>
      </w:r>
      <w:r w:rsidR="006331B7">
        <w:rPr>
          <w:color w:val="000000"/>
        </w:rPr>
        <w:t>3-</w:t>
      </w:r>
      <w:r w:rsidR="006331B7" w:rsidRPr="006331B7">
        <w:rPr>
          <w:color w:val="000000"/>
        </w:rPr>
        <w:t>4 (N.D. Cal. Apr. 1, 2020)</w:t>
      </w:r>
      <w:r w:rsidR="006331B7">
        <w:rPr>
          <w:color w:val="000000"/>
        </w:rPr>
        <w:t xml:space="preserve"> (granting bail)</w:t>
      </w:r>
      <w:r w:rsidR="006331B7">
        <w:rPr>
          <w:color w:val="000000"/>
          <w:sz w:val="24"/>
          <w:szCs w:val="24"/>
        </w:rPr>
        <w:t xml:space="preserve">; </w:t>
      </w:r>
      <w:r w:rsidR="00F92E55" w:rsidRPr="00803F49">
        <w:rPr>
          <w:i/>
          <w:iCs/>
          <w:sz w:val="24"/>
          <w:szCs w:val="24"/>
        </w:rPr>
        <w:t xml:space="preserve">United States v. </w:t>
      </w:r>
      <w:proofErr w:type="spellStart"/>
      <w:r w:rsidR="00F92E55" w:rsidRPr="00803F49">
        <w:rPr>
          <w:i/>
          <w:iCs/>
          <w:sz w:val="24"/>
          <w:szCs w:val="24"/>
        </w:rPr>
        <w:t>Barkman</w:t>
      </w:r>
      <w:proofErr w:type="spellEnd"/>
      <w:r w:rsidR="00F92E55" w:rsidRPr="00803F49">
        <w:rPr>
          <w:sz w:val="24"/>
          <w:szCs w:val="24"/>
        </w:rPr>
        <w:t xml:space="preserve">, No. 3:19-CR-52-RCJ (D. Nev. Mar. 17, 2020) (ordering suspension of intermittent confinement as probation condition in light of COVID-19 in order to protect defendant and </w:t>
      </w:r>
      <w:r w:rsidR="00DC07A6">
        <w:rPr>
          <w:sz w:val="24"/>
          <w:szCs w:val="24"/>
        </w:rPr>
        <w:t>people in detention facility</w:t>
      </w:r>
      <w:r w:rsidR="00F92E55" w:rsidRPr="00803F49">
        <w:rPr>
          <w:sz w:val="24"/>
          <w:szCs w:val="24"/>
        </w:rPr>
        <w:t>).</w:t>
      </w:r>
      <w:r w:rsidR="00F92E55" w:rsidRPr="00803F49">
        <w:rPr>
          <w:rStyle w:val="FootnoteReference"/>
          <w:sz w:val="24"/>
          <w:szCs w:val="24"/>
        </w:rPr>
        <w:footnoteReference w:id="26"/>
      </w:r>
    </w:p>
    <w:p w14:paraId="0932D523" w14:textId="2171070D" w:rsidR="007E3B1A" w:rsidRPr="009F2B53" w:rsidRDefault="00A72033" w:rsidP="009F2B53">
      <w:pPr>
        <w:pStyle w:val="NoSpacing"/>
        <w:numPr>
          <w:ilvl w:val="0"/>
          <w:numId w:val="9"/>
        </w:numPr>
        <w:spacing w:line="480" w:lineRule="auto"/>
        <w:rPr>
          <w:b/>
          <w:iCs/>
          <w:sz w:val="24"/>
          <w:szCs w:val="24"/>
        </w:rPr>
      </w:pPr>
      <w:r w:rsidRPr="009F2B53">
        <w:rPr>
          <w:b/>
          <w:iCs/>
          <w:sz w:val="24"/>
          <w:szCs w:val="24"/>
        </w:rPr>
        <w:t xml:space="preserve">Specific Conditions at the </w:t>
      </w:r>
      <w:r w:rsidR="00006DC5" w:rsidRPr="009F2B53">
        <w:rPr>
          <w:b/>
          <w:iCs/>
          <w:sz w:val="24"/>
          <w:szCs w:val="24"/>
          <w:highlight w:val="yellow"/>
        </w:rPr>
        <w:t>[DETENTION FACILITY]</w:t>
      </w:r>
    </w:p>
    <w:p w14:paraId="20F23669" w14:textId="77777777" w:rsidR="00B61607" w:rsidRPr="00814C24" w:rsidRDefault="007E3B1A" w:rsidP="00DE6691">
      <w:pPr>
        <w:spacing w:line="480" w:lineRule="auto"/>
        <w:rPr>
          <w:bCs/>
        </w:rPr>
      </w:pPr>
      <w:r w:rsidRPr="00814C24">
        <w:rPr>
          <w:b/>
        </w:rPr>
        <w:tab/>
      </w:r>
      <w:r w:rsidR="00006DC5" w:rsidRPr="00814C24">
        <w:rPr>
          <w:bCs/>
          <w:highlight w:val="yellow"/>
        </w:rPr>
        <w:t>Provide any relevant specific details regarding the detention facility at issue including</w:t>
      </w:r>
      <w:r w:rsidR="00B61607" w:rsidRPr="00814C24">
        <w:rPr>
          <w:bCs/>
          <w:highlight w:val="yellow"/>
        </w:rPr>
        <w:t>:</w:t>
      </w:r>
    </w:p>
    <w:p w14:paraId="07DCCEB3" w14:textId="77777777" w:rsidR="00A52ACC" w:rsidRPr="00814C24" w:rsidRDefault="00A52ACC" w:rsidP="00A52ACC">
      <w:pPr>
        <w:pStyle w:val="ListParagraph"/>
        <w:numPr>
          <w:ilvl w:val="0"/>
          <w:numId w:val="4"/>
        </w:numPr>
        <w:spacing w:line="480" w:lineRule="auto"/>
        <w:rPr>
          <w:bCs/>
          <w:sz w:val="24"/>
          <w:szCs w:val="24"/>
        </w:rPr>
      </w:pPr>
      <w:r w:rsidRPr="00814C24">
        <w:rPr>
          <w:bCs/>
          <w:sz w:val="24"/>
          <w:szCs w:val="24"/>
        </w:rPr>
        <w:t>A</w:t>
      </w:r>
      <w:r w:rsidR="00006DC5" w:rsidRPr="00814C24">
        <w:rPr>
          <w:bCs/>
          <w:sz w:val="24"/>
          <w:szCs w:val="24"/>
        </w:rPr>
        <w:t xml:space="preserve">ny prior outbreaks of communicable disease such as MRSA, H1N1 flu, or Tuberculosis; </w:t>
      </w:r>
    </w:p>
    <w:p w14:paraId="15B40926" w14:textId="77777777" w:rsidR="00A52ACC" w:rsidRPr="00814C24" w:rsidRDefault="00B61607" w:rsidP="00A52ACC">
      <w:pPr>
        <w:pStyle w:val="ListParagraph"/>
        <w:numPr>
          <w:ilvl w:val="0"/>
          <w:numId w:val="4"/>
        </w:numPr>
        <w:spacing w:line="480" w:lineRule="auto"/>
        <w:rPr>
          <w:bCs/>
          <w:sz w:val="24"/>
          <w:szCs w:val="24"/>
        </w:rPr>
      </w:pPr>
      <w:r w:rsidRPr="00814C24">
        <w:rPr>
          <w:bCs/>
          <w:sz w:val="24"/>
          <w:szCs w:val="24"/>
        </w:rPr>
        <w:t>D</w:t>
      </w:r>
      <w:r w:rsidR="00006DC5" w:rsidRPr="00814C24">
        <w:rPr>
          <w:bCs/>
          <w:sz w:val="24"/>
          <w:szCs w:val="24"/>
        </w:rPr>
        <w:t>etails regarding the number of individuals detained at the facility, the number of arrestees who come in and out of the facility each day</w:t>
      </w:r>
      <w:r w:rsidRPr="00814C24">
        <w:rPr>
          <w:bCs/>
          <w:sz w:val="24"/>
          <w:szCs w:val="24"/>
        </w:rPr>
        <w:t>;</w:t>
      </w:r>
    </w:p>
    <w:p w14:paraId="36F3BF98" w14:textId="77777777" w:rsidR="00A52ACC" w:rsidRPr="00814C24" w:rsidRDefault="00B61607" w:rsidP="00A52ACC">
      <w:pPr>
        <w:pStyle w:val="ListParagraph"/>
        <w:numPr>
          <w:ilvl w:val="0"/>
          <w:numId w:val="4"/>
        </w:numPr>
        <w:spacing w:line="480" w:lineRule="auto"/>
        <w:rPr>
          <w:bCs/>
          <w:sz w:val="24"/>
          <w:szCs w:val="24"/>
        </w:rPr>
      </w:pPr>
      <w:r w:rsidRPr="00814C24">
        <w:rPr>
          <w:bCs/>
          <w:sz w:val="24"/>
          <w:szCs w:val="24"/>
        </w:rPr>
        <w:t xml:space="preserve">Information about </w:t>
      </w:r>
      <w:r w:rsidR="00006DC5" w:rsidRPr="00814C24">
        <w:rPr>
          <w:bCs/>
          <w:sz w:val="24"/>
          <w:szCs w:val="24"/>
        </w:rPr>
        <w:t>the facility</w:t>
      </w:r>
      <w:r w:rsidRPr="00814C24">
        <w:rPr>
          <w:bCs/>
          <w:sz w:val="24"/>
          <w:szCs w:val="24"/>
        </w:rPr>
        <w:t>’s structure and physical layout</w:t>
      </w:r>
      <w:r w:rsidR="00006DC5" w:rsidRPr="00814C24">
        <w:rPr>
          <w:bCs/>
          <w:sz w:val="24"/>
          <w:szCs w:val="24"/>
        </w:rPr>
        <w:t xml:space="preserve"> that increase risk for spread of the virus</w:t>
      </w:r>
      <w:r w:rsidR="00B04694" w:rsidRPr="00814C24">
        <w:rPr>
          <w:bCs/>
          <w:sz w:val="24"/>
          <w:szCs w:val="24"/>
        </w:rPr>
        <w:t xml:space="preserve"> and prevent those who are at risk from being able to engage in social distancing and self-quarantine precautions as recommended by the CDC</w:t>
      </w:r>
      <w:r w:rsidR="00006DC5" w:rsidRPr="00814C24">
        <w:rPr>
          <w:bCs/>
          <w:sz w:val="24"/>
          <w:szCs w:val="24"/>
        </w:rPr>
        <w:t xml:space="preserve"> such as shared </w:t>
      </w:r>
      <w:r w:rsidRPr="00814C24">
        <w:rPr>
          <w:bCs/>
          <w:sz w:val="24"/>
          <w:szCs w:val="24"/>
        </w:rPr>
        <w:t xml:space="preserve">toilet and sink use within individual, shared cells; the number of individuals held together in an individual cell, and in a housing unit; shared shower facilities, </w:t>
      </w:r>
      <w:r w:rsidR="00B04694" w:rsidRPr="00814C24">
        <w:rPr>
          <w:bCs/>
          <w:sz w:val="24"/>
          <w:szCs w:val="24"/>
        </w:rPr>
        <w:t xml:space="preserve">restrictions on movement, size of individual cells and shared spaces, </w:t>
      </w:r>
      <w:r w:rsidRPr="00814C24">
        <w:rPr>
          <w:bCs/>
          <w:sz w:val="24"/>
          <w:szCs w:val="24"/>
        </w:rPr>
        <w:t>etc.</w:t>
      </w:r>
    </w:p>
    <w:p w14:paraId="45C68A66" w14:textId="77777777" w:rsidR="00A52ACC" w:rsidRPr="00814C24" w:rsidRDefault="00B61607" w:rsidP="00A52ACC">
      <w:pPr>
        <w:pStyle w:val="ListParagraph"/>
        <w:numPr>
          <w:ilvl w:val="0"/>
          <w:numId w:val="4"/>
        </w:numPr>
        <w:spacing w:line="480" w:lineRule="auto"/>
        <w:rPr>
          <w:bCs/>
          <w:sz w:val="24"/>
          <w:szCs w:val="24"/>
        </w:rPr>
      </w:pPr>
      <w:r w:rsidRPr="00814C24">
        <w:rPr>
          <w:bCs/>
          <w:sz w:val="24"/>
          <w:szCs w:val="24"/>
        </w:rPr>
        <w:t>Details about the limited access to personal hygiene items such as tissues, soap, disinfectant</w:t>
      </w:r>
      <w:r w:rsidR="00B04694" w:rsidRPr="00814C24">
        <w:rPr>
          <w:bCs/>
          <w:sz w:val="24"/>
          <w:szCs w:val="24"/>
        </w:rPr>
        <w:t>, or hot water</w:t>
      </w:r>
      <w:r w:rsidR="00BE2261" w:rsidRPr="00814C24">
        <w:rPr>
          <w:bCs/>
          <w:sz w:val="24"/>
          <w:szCs w:val="24"/>
        </w:rPr>
        <w:t xml:space="preserve">, </w:t>
      </w:r>
      <w:r w:rsidR="006D4702" w:rsidRPr="00814C24">
        <w:rPr>
          <w:bCs/>
          <w:sz w:val="24"/>
          <w:szCs w:val="24"/>
        </w:rPr>
        <w:t xml:space="preserve">shared phones, </w:t>
      </w:r>
      <w:r w:rsidR="00BE2261" w:rsidRPr="00814C24">
        <w:rPr>
          <w:bCs/>
          <w:sz w:val="24"/>
          <w:szCs w:val="24"/>
        </w:rPr>
        <w:t xml:space="preserve">and </w:t>
      </w:r>
      <w:r w:rsidR="00B04694" w:rsidRPr="00814C24">
        <w:rPr>
          <w:bCs/>
          <w:sz w:val="24"/>
          <w:szCs w:val="24"/>
        </w:rPr>
        <w:t>limited laundry and clothing</w:t>
      </w:r>
      <w:r w:rsidRPr="00814C24">
        <w:rPr>
          <w:bCs/>
          <w:sz w:val="24"/>
          <w:szCs w:val="24"/>
        </w:rPr>
        <w:t xml:space="preserve"> which prevent individuals from taking recommended precautions to minimize the spread of </w:t>
      </w:r>
      <w:r w:rsidRPr="00814C24">
        <w:rPr>
          <w:bCs/>
          <w:sz w:val="24"/>
          <w:szCs w:val="24"/>
        </w:rPr>
        <w:lastRenderedPageBreak/>
        <w:t>the virus</w:t>
      </w:r>
      <w:r w:rsidR="00BE2261" w:rsidRPr="00814C24">
        <w:rPr>
          <w:bCs/>
          <w:sz w:val="24"/>
          <w:szCs w:val="24"/>
        </w:rPr>
        <w:t>.</w:t>
      </w:r>
    </w:p>
    <w:p w14:paraId="48595CCE" w14:textId="4FCA80F8" w:rsidR="00A52ACC" w:rsidRPr="00814C24" w:rsidRDefault="00A52ACC" w:rsidP="00A52ACC">
      <w:pPr>
        <w:pStyle w:val="ListParagraph"/>
        <w:numPr>
          <w:ilvl w:val="0"/>
          <w:numId w:val="4"/>
        </w:numPr>
        <w:spacing w:line="480" w:lineRule="auto"/>
        <w:rPr>
          <w:bCs/>
          <w:sz w:val="24"/>
          <w:szCs w:val="24"/>
        </w:rPr>
      </w:pPr>
      <w:r w:rsidRPr="00814C24">
        <w:rPr>
          <w:bCs/>
          <w:sz w:val="24"/>
          <w:szCs w:val="24"/>
        </w:rPr>
        <w:t xml:space="preserve">Details about </w:t>
      </w:r>
      <w:r w:rsidR="00BE2261" w:rsidRPr="00814C24">
        <w:rPr>
          <w:bCs/>
          <w:sz w:val="24"/>
          <w:szCs w:val="24"/>
        </w:rPr>
        <w:t xml:space="preserve">any relevant hygiene items that may be </w:t>
      </w:r>
      <w:r w:rsidR="0051159B">
        <w:rPr>
          <w:bCs/>
          <w:sz w:val="24"/>
          <w:szCs w:val="24"/>
        </w:rPr>
        <w:t xml:space="preserve">considered contraband or </w:t>
      </w:r>
      <w:r w:rsidR="00BE2261" w:rsidRPr="00814C24">
        <w:rPr>
          <w:bCs/>
          <w:sz w:val="24"/>
          <w:szCs w:val="24"/>
        </w:rPr>
        <w:t xml:space="preserve">available only to </w:t>
      </w:r>
      <w:r w:rsidR="00DC07A6">
        <w:rPr>
          <w:bCs/>
          <w:sz w:val="24"/>
          <w:szCs w:val="24"/>
        </w:rPr>
        <w:t>incarcerated people</w:t>
      </w:r>
      <w:r w:rsidR="00DC07A6" w:rsidRPr="00814C24">
        <w:rPr>
          <w:bCs/>
          <w:sz w:val="24"/>
          <w:szCs w:val="24"/>
        </w:rPr>
        <w:t xml:space="preserve"> </w:t>
      </w:r>
      <w:r w:rsidR="00BE2261" w:rsidRPr="00814C24">
        <w:rPr>
          <w:bCs/>
          <w:sz w:val="24"/>
          <w:szCs w:val="24"/>
        </w:rPr>
        <w:t>with financial resources.</w:t>
      </w:r>
    </w:p>
    <w:p w14:paraId="4BDA54D5" w14:textId="77777777" w:rsidR="00A52ACC" w:rsidRPr="00814C24" w:rsidRDefault="00B04694" w:rsidP="00A52ACC">
      <w:pPr>
        <w:pStyle w:val="ListParagraph"/>
        <w:numPr>
          <w:ilvl w:val="0"/>
          <w:numId w:val="4"/>
        </w:numPr>
        <w:spacing w:line="480" w:lineRule="auto"/>
        <w:rPr>
          <w:bCs/>
          <w:sz w:val="24"/>
          <w:szCs w:val="24"/>
        </w:rPr>
      </w:pPr>
      <w:r w:rsidRPr="00814C24">
        <w:rPr>
          <w:bCs/>
          <w:sz w:val="24"/>
          <w:szCs w:val="24"/>
        </w:rPr>
        <w:t>Details regarding impact on ability to carry out other activities relating to representation including limitations on visitation, inability to secure interpreters, and limitations on attorneys who themselves are at a higher-risk for infection due to age and/or chronic health convictions, or who live with or care for high-risk individuals.</w:t>
      </w:r>
    </w:p>
    <w:p w14:paraId="2245E008" w14:textId="26C28AFA" w:rsidR="00A52ACC" w:rsidRPr="00210C0E" w:rsidRDefault="00BE2261" w:rsidP="00A52ACC">
      <w:pPr>
        <w:pStyle w:val="ListParagraph"/>
        <w:numPr>
          <w:ilvl w:val="0"/>
          <w:numId w:val="4"/>
        </w:numPr>
        <w:spacing w:line="480" w:lineRule="auto"/>
        <w:rPr>
          <w:bCs/>
          <w:sz w:val="24"/>
          <w:szCs w:val="24"/>
        </w:rPr>
      </w:pPr>
      <w:r w:rsidRPr="00814C24">
        <w:rPr>
          <w:bCs/>
          <w:sz w:val="24"/>
          <w:szCs w:val="24"/>
        </w:rPr>
        <w:t xml:space="preserve">Describe any limitations on alternative access to </w:t>
      </w:r>
      <w:r w:rsidR="00DC07A6">
        <w:rPr>
          <w:bCs/>
          <w:sz w:val="24"/>
          <w:szCs w:val="24"/>
        </w:rPr>
        <w:t>incarcerated people</w:t>
      </w:r>
      <w:r w:rsidR="00DC07A6" w:rsidRPr="00814C24">
        <w:rPr>
          <w:bCs/>
          <w:sz w:val="24"/>
          <w:szCs w:val="24"/>
        </w:rPr>
        <w:t xml:space="preserve"> </w:t>
      </w:r>
      <w:r w:rsidRPr="00814C24">
        <w:rPr>
          <w:bCs/>
          <w:sz w:val="24"/>
          <w:szCs w:val="24"/>
        </w:rPr>
        <w:t xml:space="preserve">if a quarantine is ordered, </w:t>
      </w:r>
      <w:r w:rsidRPr="00210C0E">
        <w:rPr>
          <w:bCs/>
          <w:sz w:val="24"/>
          <w:szCs w:val="24"/>
        </w:rPr>
        <w:t>such as</w:t>
      </w:r>
      <w:r w:rsidR="00BB4D58">
        <w:rPr>
          <w:bCs/>
          <w:sz w:val="24"/>
          <w:szCs w:val="24"/>
        </w:rPr>
        <w:t xml:space="preserve"> unavailability or</w:t>
      </w:r>
      <w:r w:rsidRPr="00210C0E">
        <w:rPr>
          <w:bCs/>
          <w:sz w:val="24"/>
          <w:szCs w:val="24"/>
        </w:rPr>
        <w:t xml:space="preserve"> limits on the number of video conference units</w:t>
      </w:r>
      <w:r w:rsidR="006D4702" w:rsidRPr="00210C0E">
        <w:rPr>
          <w:bCs/>
          <w:sz w:val="24"/>
          <w:szCs w:val="24"/>
        </w:rPr>
        <w:t>, phones, and other means of communication.</w:t>
      </w:r>
    </w:p>
    <w:p w14:paraId="5FD5191F" w14:textId="79A1FF83" w:rsidR="00210C0E" w:rsidRPr="00210C0E" w:rsidRDefault="00210C0E" w:rsidP="00210C0E">
      <w:pPr>
        <w:pStyle w:val="ListParagraph"/>
        <w:numPr>
          <w:ilvl w:val="0"/>
          <w:numId w:val="4"/>
        </w:numPr>
        <w:spacing w:line="480" w:lineRule="auto"/>
        <w:rPr>
          <w:bCs/>
          <w:sz w:val="24"/>
          <w:szCs w:val="24"/>
        </w:rPr>
      </w:pPr>
      <w:r w:rsidRPr="00210C0E">
        <w:rPr>
          <w:bCs/>
          <w:sz w:val="24"/>
          <w:szCs w:val="24"/>
        </w:rPr>
        <w:t>Describe</w:t>
      </w:r>
      <w:r w:rsidR="00BE2261" w:rsidRPr="00210C0E">
        <w:rPr>
          <w:bCs/>
          <w:sz w:val="24"/>
          <w:szCs w:val="24"/>
        </w:rPr>
        <w:t xml:space="preserve"> any other known problems with sanitary conditions in the facility.</w:t>
      </w:r>
      <w:r w:rsidRPr="00210C0E">
        <w:rPr>
          <w:bCs/>
          <w:sz w:val="24"/>
          <w:szCs w:val="24"/>
        </w:rPr>
        <w:t xml:space="preserve"> Describe </w:t>
      </w:r>
      <w:r w:rsidRPr="00210C0E">
        <w:rPr>
          <w:color w:val="000000"/>
          <w:sz w:val="24"/>
          <w:szCs w:val="24"/>
        </w:rPr>
        <w:t>any past findings of insufficient healthcare or sanitary conditions, especially judicial findings.</w:t>
      </w:r>
    </w:p>
    <w:p w14:paraId="0B10E036" w14:textId="16954071" w:rsidR="00BE2261" w:rsidRPr="00814C24" w:rsidRDefault="00BE2261" w:rsidP="00A52ACC">
      <w:pPr>
        <w:pStyle w:val="ListParagraph"/>
        <w:numPr>
          <w:ilvl w:val="0"/>
          <w:numId w:val="4"/>
        </w:numPr>
        <w:spacing w:line="480" w:lineRule="auto"/>
        <w:rPr>
          <w:bCs/>
          <w:sz w:val="24"/>
          <w:szCs w:val="24"/>
        </w:rPr>
      </w:pPr>
      <w:r w:rsidRPr="00814C24">
        <w:rPr>
          <w:bCs/>
          <w:sz w:val="24"/>
          <w:szCs w:val="24"/>
        </w:rPr>
        <w:t>Describe any limitations on the detention facility’s medical services, staffing, or physical plant that prevent recommended precautions from being taken.</w:t>
      </w:r>
    </w:p>
    <w:p w14:paraId="419D5A4B" w14:textId="105A6D58" w:rsidR="00BE2261" w:rsidRPr="00814C24" w:rsidRDefault="00BE2261" w:rsidP="00BE2261">
      <w:pPr>
        <w:spacing w:line="480" w:lineRule="auto"/>
        <w:ind w:firstLine="720"/>
        <w:rPr>
          <w:bCs/>
        </w:rPr>
      </w:pPr>
      <w:r w:rsidRPr="00814C24">
        <w:rPr>
          <w:bCs/>
        </w:rPr>
        <w:t xml:space="preserve"> </w:t>
      </w:r>
      <w:r w:rsidRPr="00814C24">
        <w:rPr>
          <w:bCs/>
          <w:highlight w:val="yellow"/>
        </w:rPr>
        <w:t>[</w:t>
      </w:r>
      <w:r w:rsidR="00B04694" w:rsidRPr="00814C24">
        <w:rPr>
          <w:bCs/>
          <w:highlight w:val="yellow"/>
        </w:rPr>
        <w:t>DETENTION FACILITY]</w:t>
      </w:r>
      <w:r w:rsidR="00B04694" w:rsidRPr="00814C24">
        <w:rPr>
          <w:bCs/>
        </w:rPr>
        <w:t xml:space="preserve"> lacks the resources necessary to engage in screening and testing of </w:t>
      </w:r>
      <w:r w:rsidR="00DC07A6">
        <w:rPr>
          <w:bCs/>
        </w:rPr>
        <w:t>incarcerated people</w:t>
      </w:r>
      <w:r w:rsidR="00B04694" w:rsidRPr="00814C24">
        <w:rPr>
          <w:bCs/>
        </w:rPr>
        <w:t>, correctional staff, law enforcement officers and other care and service providers who enter the facility.</w:t>
      </w:r>
      <w:r w:rsidRPr="00814C24">
        <w:rPr>
          <w:bCs/>
        </w:rPr>
        <w:t xml:space="preserve"> </w:t>
      </w:r>
    </w:p>
    <w:p w14:paraId="0DC2FD29" w14:textId="13657AF5" w:rsidR="00895BFB" w:rsidRDefault="009F31A9" w:rsidP="00283471">
      <w:pPr>
        <w:spacing w:line="480" w:lineRule="auto"/>
        <w:ind w:firstLine="720"/>
        <w:rPr>
          <w:lang w:val="en-CA"/>
        </w:rPr>
      </w:pPr>
      <w:r w:rsidRPr="00814C24">
        <w:rPr>
          <w:lang w:val="en-CA"/>
        </w:rPr>
        <w:t>As additional people are arrested who have been out in the community as the coronavirus spreads, if they are not symptomatic, they will be brought into the</w:t>
      </w:r>
      <w:r w:rsidR="00BE2261" w:rsidRPr="00814C24">
        <w:rPr>
          <w:lang w:val="en-CA"/>
        </w:rPr>
        <w:t xml:space="preserve"> </w:t>
      </w:r>
      <w:r w:rsidR="00BE2261" w:rsidRPr="00814C24">
        <w:rPr>
          <w:highlight w:val="yellow"/>
          <w:lang w:val="en-CA"/>
        </w:rPr>
        <w:t>[DETENTION FACILTY]</w:t>
      </w:r>
      <w:r w:rsidRPr="00814C24">
        <w:rPr>
          <w:highlight w:val="yellow"/>
          <w:lang w:val="en-CA"/>
        </w:rPr>
        <w:t>,</w:t>
      </w:r>
      <w:r w:rsidRPr="00814C24">
        <w:rPr>
          <w:lang w:val="en-CA"/>
        </w:rPr>
        <w:t xml:space="preserve"> and held with the existing population, potentially bringing COVID-19 into this population held in large numbers, close quarters, and low sanitary conditions</w:t>
      </w:r>
      <w:r w:rsidR="00283471" w:rsidRPr="00814C24">
        <w:rPr>
          <w:lang w:val="en-CA"/>
        </w:rPr>
        <w:t>.</w:t>
      </w:r>
    </w:p>
    <w:p w14:paraId="372AD07D" w14:textId="77777777" w:rsidR="00DE364D" w:rsidRPr="00814C24" w:rsidRDefault="00DE364D" w:rsidP="00283471">
      <w:pPr>
        <w:spacing w:line="480" w:lineRule="auto"/>
        <w:ind w:firstLine="720"/>
        <w:rPr>
          <w:lang w:val="en-CA"/>
        </w:rPr>
      </w:pPr>
    </w:p>
    <w:p w14:paraId="6DC4D2C2" w14:textId="77777777" w:rsidR="0097796C" w:rsidRPr="00814C24" w:rsidRDefault="0097796C" w:rsidP="0097796C">
      <w:pPr>
        <w:spacing w:line="480" w:lineRule="auto"/>
        <w:ind w:firstLine="720"/>
        <w:rPr>
          <w:b/>
          <w:u w:val="single"/>
          <w:lang w:val="en-CA"/>
        </w:rPr>
      </w:pPr>
      <w:r w:rsidRPr="00814C24">
        <w:rPr>
          <w:b/>
          <w:highlight w:val="yellow"/>
          <w:u w:val="single"/>
          <w:lang w:val="en-CA"/>
        </w:rPr>
        <w:lastRenderedPageBreak/>
        <w:t>[STATE STATUTE/The Bail Reform Act]</w:t>
      </w:r>
      <w:r w:rsidRPr="00814C24">
        <w:rPr>
          <w:b/>
          <w:u w:val="single"/>
          <w:lang w:val="en-CA"/>
        </w:rPr>
        <w:t xml:space="preserve"> Requires </w:t>
      </w:r>
      <w:r w:rsidRPr="00814C24">
        <w:rPr>
          <w:b/>
          <w:highlight w:val="yellow"/>
          <w:u w:val="single"/>
          <w:lang w:val="en-CA"/>
        </w:rPr>
        <w:t>[CLIENT’S]</w:t>
      </w:r>
      <w:r w:rsidRPr="00814C24">
        <w:rPr>
          <w:b/>
          <w:u w:val="single"/>
          <w:lang w:val="en-CA"/>
        </w:rPr>
        <w:t xml:space="preserve"> Release</w:t>
      </w:r>
    </w:p>
    <w:p w14:paraId="32D65ACF" w14:textId="77777777" w:rsidR="0097796C" w:rsidRPr="00814C24" w:rsidRDefault="0097796C" w:rsidP="0097796C">
      <w:pPr>
        <w:spacing w:line="480" w:lineRule="auto"/>
        <w:ind w:firstLine="720"/>
      </w:pPr>
      <w:r w:rsidRPr="00814C24">
        <w:rPr>
          <w:highlight w:val="yellow"/>
        </w:rPr>
        <w:t>FEDERAL:</w:t>
      </w:r>
      <w:r w:rsidRPr="00814C24">
        <w:t xml:space="preserve"> A “judicial officer may, by subsequent order, permit the temporary release of the person, in the custody of a United States marshal or another appropriate person, to the extent that the judicial officer determines such release to be necessary for preparation of the person's defense or for another compelling reason.”  18 U.S.C. § 3142(i).  </w:t>
      </w:r>
    </w:p>
    <w:p w14:paraId="64667444" w14:textId="77777777" w:rsidR="0097796C" w:rsidRPr="00814C24" w:rsidRDefault="0097796C" w:rsidP="0097796C">
      <w:pPr>
        <w:spacing w:line="480" w:lineRule="auto"/>
        <w:ind w:firstLine="720"/>
      </w:pPr>
      <w:r w:rsidRPr="00814C24">
        <w:rPr>
          <w:highlight w:val="yellow"/>
        </w:rPr>
        <w:t>STATE:</w:t>
      </w:r>
      <w:r w:rsidRPr="00814C24">
        <w:t xml:space="preserve"> insert relevant bail statute provisions/case law that provides for temporary release, or calls for the consideration of an individual’s medical needs in determining whether to detain</w:t>
      </w:r>
    </w:p>
    <w:p w14:paraId="49872FF7" w14:textId="77777777" w:rsidR="0097796C" w:rsidRPr="00814C24" w:rsidRDefault="0097796C" w:rsidP="0097796C">
      <w:pPr>
        <w:spacing w:line="480" w:lineRule="auto"/>
        <w:ind w:firstLine="720"/>
        <w:rPr>
          <w:highlight w:val="yellow"/>
          <w:lang w:val="en-CA"/>
        </w:rPr>
      </w:pPr>
      <w:r w:rsidRPr="00814C24">
        <w:rPr>
          <w:lang w:val="en-CA"/>
        </w:rPr>
        <w:t>The circumstances that existed when [</w:t>
      </w:r>
      <w:r w:rsidRPr="00814C24">
        <w:rPr>
          <w:highlight w:val="yellow"/>
          <w:lang w:val="en-CA"/>
        </w:rPr>
        <w:t>CLIENT]</w:t>
      </w:r>
      <w:r w:rsidRPr="00814C24">
        <w:rPr>
          <w:lang w:val="en-CA"/>
        </w:rPr>
        <w:t xml:space="preserve"> was ordered detained have now changed.  There is a pandemic that poses a direct risk that is far greater if [</w:t>
      </w:r>
      <w:r w:rsidRPr="00814C24">
        <w:rPr>
          <w:highlight w:val="yellow"/>
          <w:lang w:val="en-CA"/>
        </w:rPr>
        <w:t>CLIENT]</w:t>
      </w:r>
      <w:r w:rsidRPr="00814C24">
        <w:rPr>
          <w:lang w:val="en-CA"/>
        </w:rPr>
        <w:t xml:space="preserve"> continues to be detained during this public health crisis.</w:t>
      </w:r>
    </w:p>
    <w:p w14:paraId="7E4392EE" w14:textId="77777777" w:rsidR="0097796C" w:rsidRPr="00814C24" w:rsidRDefault="0097796C" w:rsidP="0097796C">
      <w:pPr>
        <w:spacing w:line="480" w:lineRule="auto"/>
        <w:ind w:firstLine="720"/>
      </w:pPr>
      <w:r w:rsidRPr="00814C24">
        <w:rPr>
          <w:lang w:val="en-CA"/>
        </w:rPr>
        <w:t xml:space="preserve">Liberty is the norm and “detention prior to trial or without trials is the carefully limited exception.” </w:t>
      </w:r>
      <w:r w:rsidRPr="00814C24">
        <w:rPr>
          <w:i/>
          <w:lang w:val="en-CA"/>
        </w:rPr>
        <w:t>United States v. Salerno</w:t>
      </w:r>
      <w:r w:rsidRPr="00814C24">
        <w:rPr>
          <w:lang w:val="en-CA"/>
        </w:rPr>
        <w:t xml:space="preserve">, 481 U.S. 739, 755 (1987). One charged with a crime is, after all, presumed innocent.  </w:t>
      </w:r>
      <w:r w:rsidRPr="00814C24">
        <w:rPr>
          <w:i/>
          <w:lang w:val="en-CA"/>
        </w:rPr>
        <w:t>Stack v. Boyle</w:t>
      </w:r>
      <w:r w:rsidRPr="00814C24">
        <w:rPr>
          <w:lang w:val="en-CA"/>
        </w:rPr>
        <w:t xml:space="preserve">, 342 U.S. 1, 4 (1951).  A single individual unnecessarily detained before trial is one individual too many, and the increasing use of the practice places tremendous wear on our constitutional system.  </w:t>
      </w:r>
      <w:r w:rsidRPr="00814C24">
        <w:rPr>
          <w:i/>
          <w:lang w:val="en-CA"/>
        </w:rPr>
        <w:t>United States v. Montalvo-Murillo</w:t>
      </w:r>
      <w:r w:rsidRPr="00814C24">
        <w:rPr>
          <w:lang w:val="en-CA"/>
        </w:rPr>
        <w:t xml:space="preserve">, 495 U.S. 711, 723–24 (1990) (Stevens, J., dissenting, joined by Brennan and Marshall, JJ.).  Due to the crucial interests involved, it follows that a “case-by-case” approach is required at any stage of the case in assessing the propriety of pretrial detention.  </w:t>
      </w:r>
      <w:r w:rsidRPr="00814C24">
        <w:rPr>
          <w:i/>
          <w:lang w:val="en-CA"/>
        </w:rPr>
        <w:t>See United States v. Gonzales Claudio</w:t>
      </w:r>
      <w:r w:rsidRPr="00814C24">
        <w:rPr>
          <w:lang w:val="en-CA"/>
        </w:rPr>
        <w:t xml:space="preserve">, 806 F.2d 334, 340 (2d Cir. 1986) (discussing due process analysis for evaluating propriety of prolonged pretrial detention, and the interests at stake) (citations omitted), </w:t>
      </w:r>
      <w:r w:rsidRPr="00814C24">
        <w:rPr>
          <w:i/>
          <w:lang w:val="en-CA"/>
        </w:rPr>
        <w:t>cert. dismissed sub nom.</w:t>
      </w:r>
      <w:r w:rsidRPr="00814C24">
        <w:rPr>
          <w:lang w:val="en-CA"/>
        </w:rPr>
        <w:t xml:space="preserve">, </w:t>
      </w:r>
      <w:r w:rsidRPr="00814C24">
        <w:rPr>
          <w:i/>
          <w:lang w:val="en-CA"/>
        </w:rPr>
        <w:t>Melendez-Carrion v. United States</w:t>
      </w:r>
      <w:r w:rsidRPr="00814C24">
        <w:rPr>
          <w:lang w:val="en-CA"/>
        </w:rPr>
        <w:t xml:space="preserve">, 479 U.S. 978 (1986).   </w:t>
      </w:r>
    </w:p>
    <w:p w14:paraId="0168B02C" w14:textId="77777777" w:rsidR="0097796C" w:rsidRPr="00814C24" w:rsidRDefault="0097796C" w:rsidP="0097796C">
      <w:pPr>
        <w:spacing w:line="480" w:lineRule="auto"/>
        <w:ind w:firstLine="720"/>
      </w:pPr>
      <w:r w:rsidRPr="00814C24">
        <w:lastRenderedPageBreak/>
        <w:t xml:space="preserve">The courts have long recognized that there is no greater necessity than keeping a defendant alive, no matter the charge.  </w:t>
      </w:r>
      <w:r w:rsidRPr="00814C24">
        <w:rPr>
          <w:lang w:val="en-CA"/>
        </w:rPr>
        <w:t xml:space="preserve">As Judge Weinstein held, </w:t>
      </w:r>
      <w:r w:rsidRPr="00814C24">
        <w:t xml:space="preserve">“We do not punish those who have not been proven guilty.  When we do punish, we do not act cruelly.  Continued incarceration of this terminally ill defendant threatens both of these fundamental characteristics of our democracy.”  </w:t>
      </w:r>
      <w:r w:rsidRPr="00814C24">
        <w:rPr>
          <w:i/>
        </w:rPr>
        <w:t>United States v. Scarpa</w:t>
      </w:r>
      <w:r w:rsidRPr="00814C24">
        <w:t xml:space="preserve">, 815 F.Supp.88 (E.D.N.Y. 1993) (pretrial defendant with AIDS facing murder charges released on bail because of the “unacceptably high risk of infection and death on a daily basis inside the MCC”).  </w:t>
      </w:r>
    </w:p>
    <w:p w14:paraId="704216C1" w14:textId="0828364C" w:rsidR="00803F49" w:rsidRDefault="0097796C" w:rsidP="00803F49">
      <w:pPr>
        <w:pStyle w:val="NoSpacing"/>
        <w:spacing w:line="480" w:lineRule="auto"/>
        <w:ind w:firstLine="720"/>
        <w:rPr>
          <w:i/>
          <w:iCs/>
          <w:color w:val="000000"/>
        </w:rPr>
      </w:pPr>
      <w:r w:rsidRPr="00814C24">
        <w:rPr>
          <w:sz w:val="24"/>
          <w:szCs w:val="24"/>
          <w:lang w:val="en-CA"/>
        </w:rPr>
        <w:t xml:space="preserve">This Court should consider the “total harm and benefits to prisoner and society” that continued pretrial imprisonment </w:t>
      </w:r>
      <w:r w:rsidRPr="00814C24">
        <w:rPr>
          <w:sz w:val="24"/>
          <w:szCs w:val="24"/>
          <w:highlight w:val="yellow"/>
          <w:lang w:val="en-CA"/>
        </w:rPr>
        <w:t>[CLIENT]</w:t>
      </w:r>
      <w:r w:rsidRPr="00814C24">
        <w:rPr>
          <w:sz w:val="24"/>
          <w:szCs w:val="24"/>
          <w:lang w:val="en-CA"/>
        </w:rPr>
        <w:t xml:space="preserve"> will yield, relative to the heightened health risks posed to </w:t>
      </w:r>
      <w:r w:rsidRPr="00814C24">
        <w:rPr>
          <w:sz w:val="24"/>
          <w:szCs w:val="24"/>
          <w:highlight w:val="yellow"/>
          <w:lang w:val="en-CA"/>
        </w:rPr>
        <w:t>[CLIENT]</w:t>
      </w:r>
      <w:r w:rsidRPr="00814C24">
        <w:rPr>
          <w:sz w:val="24"/>
          <w:szCs w:val="24"/>
          <w:lang w:val="en-CA"/>
        </w:rPr>
        <w:t xml:space="preserve"> during this rapidly encroaching pandemic.  </w:t>
      </w:r>
      <w:r w:rsidRPr="00814C24">
        <w:rPr>
          <w:i/>
          <w:iCs/>
          <w:sz w:val="24"/>
          <w:szCs w:val="24"/>
          <w:lang w:val="en-CA"/>
        </w:rPr>
        <w:t>See Davis v. Ayala</w:t>
      </w:r>
      <w:r w:rsidRPr="00814C24">
        <w:rPr>
          <w:sz w:val="24"/>
          <w:szCs w:val="24"/>
          <w:lang w:val="en-CA"/>
        </w:rPr>
        <w:t xml:space="preserve">, 135 S. Ct. 2187, 2209 (2015) (Kennedy, J., concurring) (calling for heightened judicial scrutiny of the projected impact of jail and prison conditions on a </w:t>
      </w:r>
      <w:r w:rsidRPr="00E473DF">
        <w:rPr>
          <w:sz w:val="24"/>
          <w:szCs w:val="24"/>
          <w:lang w:val="en-CA"/>
        </w:rPr>
        <w:t xml:space="preserve">defendant); </w:t>
      </w:r>
      <w:r w:rsidR="00E473DF" w:rsidRPr="00E473DF">
        <w:rPr>
          <w:i/>
          <w:iCs/>
          <w:color w:val="000000"/>
        </w:rPr>
        <w:t>United States v. Davis</w:t>
      </w:r>
      <w:r w:rsidR="00E473DF" w:rsidRPr="00E473DF">
        <w:rPr>
          <w:color w:val="000000"/>
        </w:rPr>
        <w:t>, No. ELH-20-09, 2020 WL 1529158, at *3 (D. Md. Mar. 30, 2020)</w:t>
      </w:r>
      <w:r w:rsidR="00E473DF">
        <w:rPr>
          <w:color w:val="000000"/>
        </w:rPr>
        <w:t xml:space="preserve"> (“T</w:t>
      </w:r>
      <w:r w:rsidR="00E473DF" w:rsidRPr="00E473DF">
        <w:rPr>
          <w:color w:val="000000"/>
        </w:rPr>
        <w:t xml:space="preserve">he Court finds that the COVID-19 public health emergency must be considered when weighing </w:t>
      </w:r>
      <w:r w:rsidR="00E473DF">
        <w:rPr>
          <w:color w:val="000000"/>
        </w:rPr>
        <w:t>‘</w:t>
      </w:r>
      <w:r w:rsidR="00E473DF" w:rsidRPr="00E473DF">
        <w:rPr>
          <w:color w:val="000000"/>
        </w:rPr>
        <w:t>the nature and seriousness of the danger to any person or the community that would be posed by the person’s release</w:t>
      </w:r>
      <w:r w:rsidR="00E473DF">
        <w:rPr>
          <w:color w:val="000000"/>
        </w:rPr>
        <w:t>’</w:t>
      </w:r>
      <w:r w:rsidR="00E473DF" w:rsidRPr="00E473DF">
        <w:rPr>
          <w:color w:val="000000"/>
        </w:rPr>
        <w:t xml:space="preserve"> and the defendant’s </w:t>
      </w:r>
      <w:r w:rsidR="00E473DF">
        <w:rPr>
          <w:color w:val="000000"/>
        </w:rPr>
        <w:t>‘</w:t>
      </w:r>
      <w:r w:rsidR="00E473DF" w:rsidRPr="00E473DF">
        <w:rPr>
          <w:color w:val="000000"/>
        </w:rPr>
        <w:t>physical and mental health.</w:t>
      </w:r>
      <w:r w:rsidR="00E473DF">
        <w:rPr>
          <w:color w:val="000000"/>
        </w:rPr>
        <w:t xml:space="preserve">’”); </w:t>
      </w:r>
      <w:r w:rsidR="00284CC7" w:rsidRPr="00E473DF">
        <w:rPr>
          <w:i/>
          <w:iCs/>
          <w:color w:val="000000"/>
          <w:sz w:val="24"/>
          <w:szCs w:val="24"/>
        </w:rPr>
        <w:t>United States v. Stephens</w:t>
      </w:r>
      <w:r w:rsidR="00284CC7" w:rsidRPr="00E473DF">
        <w:rPr>
          <w:color w:val="000000"/>
          <w:sz w:val="24"/>
          <w:szCs w:val="24"/>
        </w:rPr>
        <w:t>, No. 15-CR-95 (AJN), 2020 WL 1295155, at *3 (S.D.N.Y. Mar. 19, 2020)</w:t>
      </w:r>
      <w:r w:rsidR="00E473DF" w:rsidRPr="00E473DF">
        <w:rPr>
          <w:color w:val="000000"/>
          <w:sz w:val="24"/>
          <w:szCs w:val="24"/>
        </w:rPr>
        <w:t xml:space="preserve"> (“[T]he unprecedented and extraordinarily dangerous nature of the COVID-19 pandemic has become apparent … [and] “a comprehensive view of the danger the Defendant poses to the community requires considering all factors – including this one – on a case-by-case basis”)</w:t>
      </w:r>
      <w:r w:rsidR="00284CC7" w:rsidRPr="00E473DF">
        <w:rPr>
          <w:color w:val="000000"/>
          <w:sz w:val="24"/>
          <w:szCs w:val="24"/>
        </w:rPr>
        <w:t xml:space="preserve">; </w:t>
      </w:r>
      <w:r w:rsidR="00284CC7" w:rsidRPr="00E473DF">
        <w:rPr>
          <w:i/>
          <w:iCs/>
          <w:color w:val="000000"/>
          <w:sz w:val="24"/>
          <w:szCs w:val="24"/>
        </w:rPr>
        <w:t>Matter of Extradition of Toledo Manrique</w:t>
      </w:r>
      <w:r w:rsidR="00284CC7" w:rsidRPr="00E473DF">
        <w:rPr>
          <w:color w:val="000000"/>
          <w:sz w:val="24"/>
          <w:szCs w:val="24"/>
        </w:rPr>
        <w:t>, No. 19-MJ-71055-MAG-1 (TSH), 2020 WL 1307109, at *1 (N.D. Cal. Mar. 19, 2020)</w:t>
      </w:r>
      <w:r w:rsidR="00B74DC3" w:rsidRPr="00E473DF">
        <w:rPr>
          <w:color w:val="000000"/>
          <w:sz w:val="24"/>
          <w:szCs w:val="24"/>
        </w:rPr>
        <w:t xml:space="preserve"> </w:t>
      </w:r>
      <w:r w:rsidR="00E473DF" w:rsidRPr="00E473DF">
        <w:rPr>
          <w:color w:val="000000"/>
          <w:sz w:val="24"/>
          <w:szCs w:val="24"/>
        </w:rPr>
        <w:t>(finding the risk of contracting COVID-19 to be a special circumstance that warrants bail).</w:t>
      </w:r>
      <w:r w:rsidR="00E473DF" w:rsidRPr="00E473DF">
        <w:rPr>
          <w:i/>
          <w:iCs/>
          <w:color w:val="000000"/>
        </w:rPr>
        <w:t xml:space="preserve"> </w:t>
      </w:r>
    </w:p>
    <w:p w14:paraId="09B7BA69" w14:textId="6876F57B" w:rsidR="009F2B53" w:rsidRDefault="009F2B53" w:rsidP="00803F49">
      <w:pPr>
        <w:pStyle w:val="NoSpacing"/>
        <w:spacing w:line="480" w:lineRule="auto"/>
        <w:ind w:firstLine="720"/>
        <w:rPr>
          <w:i/>
          <w:iCs/>
          <w:color w:val="000000"/>
        </w:rPr>
      </w:pPr>
    </w:p>
    <w:p w14:paraId="36B45763" w14:textId="77777777" w:rsidR="009F2B53" w:rsidRDefault="009F2B53" w:rsidP="00803F49">
      <w:pPr>
        <w:pStyle w:val="NoSpacing"/>
        <w:spacing w:line="480" w:lineRule="auto"/>
        <w:ind w:firstLine="720"/>
        <w:rPr>
          <w:color w:val="000000"/>
          <w:sz w:val="24"/>
          <w:szCs w:val="24"/>
        </w:rPr>
      </w:pPr>
    </w:p>
    <w:p w14:paraId="4A69BBD6" w14:textId="033A57AC" w:rsidR="0097796C" w:rsidRPr="00803F49" w:rsidRDefault="000A7BF0" w:rsidP="00803F49">
      <w:pPr>
        <w:pStyle w:val="NoSpacing"/>
        <w:spacing w:line="480" w:lineRule="auto"/>
        <w:jc w:val="center"/>
        <w:rPr>
          <w:color w:val="000000"/>
          <w:sz w:val="24"/>
          <w:szCs w:val="24"/>
          <w:highlight w:val="cyan"/>
        </w:rPr>
      </w:pPr>
      <w:r w:rsidRPr="000A7BF0">
        <w:rPr>
          <w:b/>
          <w:bCs/>
          <w:sz w:val="24"/>
          <w:szCs w:val="24"/>
          <w:u w:val="single"/>
          <w:lang w:val="en-CA"/>
        </w:rPr>
        <w:lastRenderedPageBreak/>
        <w:t xml:space="preserve">Continued Detention of </w:t>
      </w:r>
      <w:r w:rsidRPr="000A7BF0">
        <w:rPr>
          <w:b/>
          <w:bCs/>
          <w:sz w:val="24"/>
          <w:szCs w:val="24"/>
          <w:highlight w:val="yellow"/>
          <w:u w:val="single"/>
          <w:lang w:val="en-CA"/>
        </w:rPr>
        <w:t>[CLIENT]</w:t>
      </w:r>
      <w:r w:rsidRPr="000A7BF0">
        <w:rPr>
          <w:b/>
          <w:bCs/>
          <w:sz w:val="24"/>
          <w:szCs w:val="24"/>
          <w:u w:val="single"/>
          <w:lang w:val="en-CA"/>
        </w:rPr>
        <w:t xml:space="preserve"> is a Constitutional Violation</w:t>
      </w:r>
    </w:p>
    <w:p w14:paraId="44F83B8D" w14:textId="3D318448" w:rsidR="00B74DC3" w:rsidRPr="000A7BF0" w:rsidRDefault="00B74DC3" w:rsidP="000A7BF0">
      <w:pPr>
        <w:pStyle w:val="ListParagraph"/>
        <w:numPr>
          <w:ilvl w:val="0"/>
          <w:numId w:val="8"/>
        </w:numPr>
        <w:contextualSpacing/>
        <w:rPr>
          <w:b/>
          <w:iCs/>
          <w:lang w:val="en-CA"/>
        </w:rPr>
      </w:pPr>
      <w:r w:rsidRPr="000A7BF0">
        <w:rPr>
          <w:b/>
          <w:iCs/>
          <w:lang w:val="en-CA"/>
        </w:rPr>
        <w:t xml:space="preserve">The </w:t>
      </w:r>
      <w:r w:rsidR="006C2134">
        <w:rPr>
          <w:b/>
          <w:iCs/>
          <w:lang w:val="en-CA"/>
        </w:rPr>
        <w:t xml:space="preserve">Fifth </w:t>
      </w:r>
      <w:r w:rsidRPr="000A7BF0">
        <w:rPr>
          <w:b/>
          <w:iCs/>
          <w:lang w:val="en-CA"/>
        </w:rPr>
        <w:t xml:space="preserve">Amendment Due Process Clause Compels the Court to Protect </w:t>
      </w:r>
      <w:r w:rsidRPr="000A7BF0">
        <w:rPr>
          <w:b/>
          <w:iCs/>
          <w:highlight w:val="yellow"/>
          <w:lang w:val="en-CA"/>
        </w:rPr>
        <w:t>[CLIENT]</w:t>
      </w:r>
      <w:r w:rsidRPr="000A7BF0">
        <w:rPr>
          <w:b/>
          <w:iCs/>
          <w:lang w:val="en-CA"/>
        </w:rPr>
        <w:t xml:space="preserve"> from Punitive Conditions of Confinement and Ensure that </w:t>
      </w:r>
      <w:r w:rsidRPr="000A7BF0">
        <w:rPr>
          <w:b/>
          <w:iCs/>
          <w:highlight w:val="yellow"/>
          <w:lang w:val="en-CA"/>
        </w:rPr>
        <w:t>[CLIENT]</w:t>
      </w:r>
      <w:r w:rsidRPr="000A7BF0">
        <w:rPr>
          <w:b/>
          <w:iCs/>
          <w:lang w:val="en-CA"/>
        </w:rPr>
        <w:t xml:space="preserve"> is Afforded Adequate Medical Care.</w:t>
      </w:r>
    </w:p>
    <w:p w14:paraId="02116D5D" w14:textId="77777777" w:rsidR="00B74DC3" w:rsidRPr="00B92D0A" w:rsidRDefault="00B74DC3" w:rsidP="00B74DC3">
      <w:pPr>
        <w:rPr>
          <w:b/>
          <w:i/>
          <w:lang w:val="en-CA"/>
        </w:rPr>
      </w:pPr>
    </w:p>
    <w:p w14:paraId="50847ABA" w14:textId="54A642A7" w:rsidR="00B74DC3" w:rsidRDefault="00B74DC3" w:rsidP="00B74DC3">
      <w:pPr>
        <w:spacing w:line="480" w:lineRule="auto"/>
        <w:ind w:firstLine="720"/>
      </w:pPr>
      <w:r>
        <w:t>A pretrial</w:t>
      </w:r>
      <w:r w:rsidRPr="00497852">
        <w:t xml:space="preserve"> detaine</w:t>
      </w:r>
      <w:r w:rsidR="00610B65">
        <w:t>d person</w:t>
      </w:r>
      <w:r w:rsidRPr="00497852">
        <w:t>’s freedom from pretrial confinement is a fundamental right protected by the Due Process Clause;</w:t>
      </w:r>
      <w:r>
        <w:t xml:space="preserve"> any</w:t>
      </w:r>
      <w:r w:rsidRPr="00497852">
        <w:t xml:space="preserve"> government action infringing on this right must be narrowly tailored to achieve a compelling government interest. </w:t>
      </w:r>
      <w:r w:rsidRPr="00B92D0A">
        <w:rPr>
          <w:i/>
        </w:rPr>
        <w:t>United States v. Salerno</w:t>
      </w:r>
      <w:r w:rsidRPr="00497852">
        <w:t>, 481 U.S. 739, 755 (1987). The constitutional protections of</w:t>
      </w:r>
      <w:r w:rsidR="00610B65">
        <w:t xml:space="preserve"> people detained pretrial</w:t>
      </w:r>
      <w:r w:rsidRPr="00497852">
        <w:t xml:space="preserve"> arise under the Fifth Amendment Due Process Clause, which provides protection even greater than the Eighth Amendment. </w:t>
      </w:r>
      <w:r w:rsidRPr="00B92D0A">
        <w:rPr>
          <w:i/>
        </w:rPr>
        <w:t>Bell v. Wolfish</w:t>
      </w:r>
      <w:r w:rsidRPr="00497852">
        <w:t>, 441 U.S. 520, 535 (1979).</w:t>
      </w:r>
      <w:r>
        <w:t xml:space="preserve"> </w:t>
      </w:r>
      <w:r w:rsidRPr="00497852">
        <w:t xml:space="preserve">The Eighth Amendment, which applies to persons convicted of criminal offenses, allows punishment as long as it is not cruel and unusual, but the Fifth Amendment’s due process protections do not allow </w:t>
      </w:r>
      <w:r>
        <w:t xml:space="preserve">pretrial </w:t>
      </w:r>
      <w:r w:rsidRPr="00497852">
        <w:t xml:space="preserve">punishment at all. </w:t>
      </w:r>
      <w:r w:rsidRPr="00B92D0A">
        <w:rPr>
          <w:i/>
        </w:rPr>
        <w:t xml:space="preserve">Id. </w:t>
      </w:r>
      <w:r w:rsidRPr="00497852">
        <w:t xml:space="preserve">Although the Government has an interest in detaining a defendant to secure </w:t>
      </w:r>
      <w:r>
        <w:t>their</w:t>
      </w:r>
      <w:r w:rsidRPr="00497852">
        <w:t xml:space="preserve"> </w:t>
      </w:r>
      <w:r>
        <w:t>appearance at trial, Government may only subject a detaine</w:t>
      </w:r>
      <w:r w:rsidR="00610B65">
        <w:t>d person</w:t>
      </w:r>
      <w:r>
        <w:t xml:space="preserve"> “</w:t>
      </w:r>
      <w:r w:rsidRPr="00497852">
        <w:t xml:space="preserve">to the restrictions and conditions of the detention facility so long as those conditions and restrictions do not amount to punishment, or otherwise violate the Constitution.” </w:t>
      </w:r>
      <w:r w:rsidRPr="00B92D0A">
        <w:rPr>
          <w:i/>
        </w:rPr>
        <w:t xml:space="preserve">Id. </w:t>
      </w:r>
      <w:r>
        <w:t>a</w:t>
      </w:r>
      <w:r w:rsidRPr="00497852">
        <w:t>t 536–37.</w:t>
      </w:r>
      <w:r>
        <w:rPr>
          <w:i/>
        </w:rPr>
        <w:t xml:space="preserve"> </w:t>
      </w:r>
      <w:r w:rsidRPr="00497852">
        <w:t xml:space="preserve">In </w:t>
      </w:r>
      <w:r w:rsidRPr="00B92D0A">
        <w:rPr>
          <w:i/>
        </w:rPr>
        <w:t>Kingsley v. Hendrickson</w:t>
      </w:r>
      <w:r w:rsidRPr="00497852">
        <w:t>, the Supreme Court affirmed the Due Process Clause’s prohibition on pretrial punishment, and elaborated that “if the condition of confinement being challenged ‘is not reasonably related to a legitimate goal—if it is arbitrary or purposeless—a court permissibly may infer that the purpose of the governmental action is punishment.’</w:t>
      </w:r>
      <w:r>
        <w:t xml:space="preserve">” </w:t>
      </w:r>
      <w:r w:rsidRPr="00497852">
        <w:t>135 S. Ct. 2466</w:t>
      </w:r>
      <w:r>
        <w:t>, 2470</w:t>
      </w:r>
      <w:r w:rsidRPr="00497852">
        <w:t xml:space="preserve"> (2015); </w:t>
      </w:r>
      <w:r w:rsidRPr="00B92D0A">
        <w:rPr>
          <w:i/>
        </w:rPr>
        <w:t>see also</w:t>
      </w:r>
      <w:r w:rsidRPr="00497852">
        <w:t xml:space="preserve"> </w:t>
      </w:r>
      <w:r w:rsidRPr="00B92D0A">
        <w:rPr>
          <w:i/>
        </w:rPr>
        <w:t xml:space="preserve">Doe v. Kelly, </w:t>
      </w:r>
      <w:r w:rsidRPr="00497852">
        <w:t xml:space="preserve">878 F.3d 710 (9th Cir. 2017) (“a particular restriction or condition is punishment if the restriction or condition is not reasonably related to a legitimate governmental objective or is excessive in relation to the legitimate governmental objective”).  </w:t>
      </w:r>
    </w:p>
    <w:p w14:paraId="0B26AF31" w14:textId="2A7542E1" w:rsidR="000A7BF0" w:rsidRDefault="00B74DC3" w:rsidP="000A7BF0">
      <w:pPr>
        <w:spacing w:line="480" w:lineRule="auto"/>
        <w:ind w:firstLine="720"/>
      </w:pPr>
      <w:r w:rsidRPr="00497852">
        <w:t xml:space="preserve">In addition, </w:t>
      </w:r>
      <w:r w:rsidR="00610B65">
        <w:t>people detained while awaiting trial</w:t>
      </w:r>
      <w:r w:rsidRPr="00497852">
        <w:t xml:space="preserve"> have a substantive due process interest in freedom from deliberate indifference to their medical needs. </w:t>
      </w:r>
      <w:r w:rsidRPr="0041338E">
        <w:rPr>
          <w:i/>
        </w:rPr>
        <w:t xml:space="preserve">Miranda v. </w:t>
      </w:r>
      <w:proofErr w:type="spellStart"/>
      <w:r w:rsidRPr="0041338E">
        <w:rPr>
          <w:i/>
        </w:rPr>
        <w:t>Cty</w:t>
      </w:r>
      <w:proofErr w:type="spellEnd"/>
      <w:r w:rsidRPr="0041338E">
        <w:rPr>
          <w:i/>
        </w:rPr>
        <w:t>. of Lake</w:t>
      </w:r>
      <w:r w:rsidRPr="00497852">
        <w:t xml:space="preserve">, 900 F.3d </w:t>
      </w:r>
      <w:r w:rsidRPr="00497852">
        <w:lastRenderedPageBreak/>
        <w:t xml:space="preserve">335, 352 (7th Cir. 2018). </w:t>
      </w:r>
      <w:r>
        <w:t>Furthermore, i</w:t>
      </w:r>
      <w:r w:rsidRPr="00497852">
        <w:t xml:space="preserve">n </w:t>
      </w:r>
      <w:r w:rsidRPr="0041338E">
        <w:rPr>
          <w:i/>
        </w:rPr>
        <w:t>Brown v. Plata</w:t>
      </w:r>
      <w:r w:rsidRPr="00497852">
        <w:t xml:space="preserve">, </w:t>
      </w:r>
      <w:r>
        <w:t xml:space="preserve">the </w:t>
      </w:r>
      <w:r w:rsidRPr="00497852">
        <w:t xml:space="preserve">Supreme Court explained that a </w:t>
      </w:r>
      <w:r w:rsidR="000C527D">
        <w:t>person in prison</w:t>
      </w:r>
      <w:r w:rsidR="000C527D" w:rsidRPr="00497852">
        <w:t xml:space="preserve"> </w:t>
      </w:r>
      <w:r w:rsidRPr="00497852">
        <w:t xml:space="preserve">“may suffer or die if not provided adequate medical care. A prison that deprives </w:t>
      </w:r>
      <w:r w:rsidR="000C527D">
        <w:t>incarcerated people</w:t>
      </w:r>
      <w:r w:rsidR="000C527D" w:rsidRPr="00497852">
        <w:t xml:space="preserve"> </w:t>
      </w:r>
      <w:r w:rsidRPr="00497852">
        <w:t>of basic sustenance, including adequate medical care, is incompatible with the concept of human dignity and has no</w:t>
      </w:r>
      <w:r>
        <w:t xml:space="preserve"> place in civilized society.” </w:t>
      </w:r>
      <w:r w:rsidRPr="00497852">
        <w:t xml:space="preserve">563 U.S. 493, 510–11 </w:t>
      </w:r>
      <w:r>
        <w:t>(2011). While</w:t>
      </w:r>
      <w:r w:rsidRPr="00497852">
        <w:t xml:space="preserve"> </w:t>
      </w:r>
      <w:r w:rsidR="000C527D">
        <w:t>the</w:t>
      </w:r>
      <w:r w:rsidR="000C527D" w:rsidRPr="00497852">
        <w:t xml:space="preserve"> </w:t>
      </w:r>
      <w:r w:rsidRPr="00497852">
        <w:t>claims</w:t>
      </w:r>
      <w:r w:rsidR="000C527D">
        <w:t xml:space="preserve"> of imprisoned people</w:t>
      </w:r>
      <w:r w:rsidRPr="00497852">
        <w:t xml:space="preserve"> in </w:t>
      </w:r>
      <w:r w:rsidRPr="0041338E">
        <w:rPr>
          <w:i/>
        </w:rPr>
        <w:t>Brown v. Plata</w:t>
      </w:r>
      <w:r w:rsidRPr="00497852">
        <w:t xml:space="preserve"> arose under the Eighth Amendment, </w:t>
      </w:r>
      <w:r w:rsidR="000C527D">
        <w:t>people detained before trial</w:t>
      </w:r>
      <w:r>
        <w:t xml:space="preserve"> likewise </w:t>
      </w:r>
      <w:r w:rsidRPr="00497852">
        <w:t>have the legal right to adequate medical care, given that their rights are at least as great as those of convicted persons being punished by imprisonment.</w:t>
      </w:r>
    </w:p>
    <w:p w14:paraId="71B65A5A" w14:textId="3F89336D" w:rsidR="00624AE0" w:rsidRDefault="00B74DC3" w:rsidP="009F2B53">
      <w:pPr>
        <w:spacing w:line="480" w:lineRule="auto"/>
        <w:ind w:firstLine="720"/>
      </w:pPr>
      <w:r w:rsidRPr="00B74DC3">
        <w:rPr>
          <w:highlight w:val="yellow"/>
        </w:rPr>
        <w:t>[CLIENT]</w:t>
      </w:r>
      <w:r>
        <w:t xml:space="preserve"> is therefore entitled to adequate medical care, yet the current conditions of confinement create an unreasonable risk of exposure to COVID-19 and do not provide the necessary supplies for personal and environmental hygiene necessary to protect against contraction of the virus. Accordingly, in light of the extreme risk to </w:t>
      </w:r>
      <w:r w:rsidRPr="00B74DC3">
        <w:rPr>
          <w:highlight w:val="yellow"/>
        </w:rPr>
        <w:t>[CLIENT’s]</w:t>
      </w:r>
      <w:r>
        <w:t xml:space="preserve"> health posed by the virus and the ever-increasing likelihood that </w:t>
      </w:r>
      <w:r w:rsidRPr="00B74DC3">
        <w:rPr>
          <w:highlight w:val="yellow"/>
        </w:rPr>
        <w:t>[he/she/they]</w:t>
      </w:r>
      <w:r>
        <w:t xml:space="preserve"> will contract it if </w:t>
      </w:r>
      <w:r w:rsidRPr="00B74DC3">
        <w:rPr>
          <w:highlight w:val="yellow"/>
        </w:rPr>
        <w:t>[he/she/they]</w:t>
      </w:r>
      <w:r>
        <w:t xml:space="preserve"> remains housed under current conditions, the conditions of </w:t>
      </w:r>
      <w:r w:rsidRPr="00B74DC3">
        <w:rPr>
          <w:highlight w:val="yellow"/>
        </w:rPr>
        <w:t>[his/her/their]</w:t>
      </w:r>
      <w:r>
        <w:t xml:space="preserve"> confinement should be deemed punitive, in violation of the </w:t>
      </w:r>
      <w:r w:rsidR="006C2134">
        <w:t>Fifth</w:t>
      </w:r>
      <w:r>
        <w:t xml:space="preserve"> Amendment. As such, release is appropriate to ensure </w:t>
      </w:r>
      <w:r w:rsidRPr="00B74DC3">
        <w:rPr>
          <w:highlight w:val="yellow"/>
        </w:rPr>
        <w:t>[his/her/their]</w:t>
      </w:r>
      <w:r>
        <w:t xml:space="preserve"> constitutional rights are protected and </w:t>
      </w:r>
      <w:r w:rsidRPr="00B74DC3">
        <w:rPr>
          <w:highlight w:val="yellow"/>
        </w:rPr>
        <w:t>[his/her/their]</w:t>
      </w:r>
      <w:r>
        <w:t xml:space="preserve"> life is not jeopardized during this crisis.</w:t>
      </w:r>
    </w:p>
    <w:p w14:paraId="4812384A" w14:textId="452CD84F" w:rsidR="000A7BF0" w:rsidRPr="006C2134" w:rsidRDefault="00B74DC3" w:rsidP="0038763B">
      <w:pPr>
        <w:pStyle w:val="ListParagraph"/>
        <w:numPr>
          <w:ilvl w:val="0"/>
          <w:numId w:val="8"/>
        </w:numPr>
        <w:rPr>
          <w:iCs/>
        </w:rPr>
      </w:pPr>
      <w:r w:rsidRPr="000A7BF0">
        <w:rPr>
          <w:b/>
          <w:iCs/>
          <w:lang w:val="en-CA"/>
        </w:rPr>
        <w:t xml:space="preserve">The </w:t>
      </w:r>
      <w:r w:rsidR="006C2134">
        <w:rPr>
          <w:b/>
          <w:iCs/>
          <w:lang w:val="en-CA"/>
        </w:rPr>
        <w:t>Eighth</w:t>
      </w:r>
      <w:r w:rsidRPr="000A7BF0">
        <w:rPr>
          <w:b/>
          <w:iCs/>
          <w:lang w:val="en-CA"/>
        </w:rPr>
        <w:t xml:space="preserve"> Amendment Prohibition Against Cruel and Unusual Punishment Compel Release Under these Extraordinary Circumstances</w:t>
      </w:r>
      <w:r w:rsidR="000A7BF0">
        <w:rPr>
          <w:b/>
          <w:iCs/>
          <w:lang w:val="en-CA"/>
        </w:rPr>
        <w:t>.</w:t>
      </w:r>
    </w:p>
    <w:p w14:paraId="64732B89" w14:textId="77777777" w:rsidR="006C2134" w:rsidRPr="000A7BF0" w:rsidRDefault="006C2134" w:rsidP="006C2134">
      <w:pPr>
        <w:pStyle w:val="ListParagraph"/>
        <w:ind w:left="720"/>
        <w:rPr>
          <w:iCs/>
        </w:rPr>
      </w:pPr>
    </w:p>
    <w:p w14:paraId="44FAFE34" w14:textId="77777777" w:rsidR="000A7BF0" w:rsidRDefault="00B74DC3" w:rsidP="000A7BF0">
      <w:pPr>
        <w:spacing w:line="480" w:lineRule="auto"/>
        <w:ind w:firstLine="720"/>
      </w:pPr>
      <w:r w:rsidRPr="001141BA">
        <w:t>The government, in detaining defendants pretrial, must take sufficient protective measures to prevent contraction of COVID-19 in the jail population. Unreasonable risk of COVID-19 contraction will, in itself, constitute an Eighth Amendment violation.</w:t>
      </w:r>
    </w:p>
    <w:p w14:paraId="268B0133" w14:textId="6F9373BF" w:rsidR="000A7BF0" w:rsidRDefault="00B74DC3" w:rsidP="000A7BF0">
      <w:pPr>
        <w:spacing w:line="480" w:lineRule="auto"/>
        <w:ind w:firstLine="720"/>
      </w:pPr>
      <w:r>
        <w:t xml:space="preserve">The Supreme Court has held that exposure to environmental threats to an incarcerated person´s physical wellbeing where exposure is preventable could constitute a violation of the </w:t>
      </w:r>
      <w:r w:rsidR="006C2134">
        <w:lastRenderedPageBreak/>
        <w:t>Eighth</w:t>
      </w:r>
      <w:r>
        <w:t xml:space="preserve"> Amendment</w:t>
      </w:r>
      <w:r w:rsidR="006C2134">
        <w:t>’</w:t>
      </w:r>
      <w:r>
        <w:t xml:space="preserve">s prohibition against cruel and unusual punishment. </w:t>
      </w:r>
      <w:r>
        <w:rPr>
          <w:i/>
        </w:rPr>
        <w:t xml:space="preserve">See </w:t>
      </w:r>
      <w:proofErr w:type="spellStart"/>
      <w:r w:rsidRPr="00F964F8">
        <w:rPr>
          <w:rFonts w:ascii="Times" w:hAnsi="Times"/>
          <w:i/>
          <w:iCs/>
        </w:rPr>
        <w:t>Helling</w:t>
      </w:r>
      <w:proofErr w:type="spellEnd"/>
      <w:r w:rsidRPr="00F964F8">
        <w:rPr>
          <w:rFonts w:ascii="Times" w:hAnsi="Times"/>
          <w:i/>
          <w:iCs/>
        </w:rPr>
        <w:t xml:space="preserve"> v. McKinney</w:t>
      </w:r>
      <w:r w:rsidRPr="00F964F8">
        <w:rPr>
          <w:rFonts w:ascii="Times" w:hAnsi="Times"/>
        </w:rPr>
        <w:t>, 509 U.S. 25, 28 (1993).</w:t>
      </w:r>
      <w:r>
        <w:rPr>
          <w:rFonts w:ascii="Times" w:hAnsi="Times"/>
        </w:rPr>
        <w:t xml:space="preserve"> In </w:t>
      </w:r>
      <w:proofErr w:type="spellStart"/>
      <w:r>
        <w:rPr>
          <w:rFonts w:ascii="Times" w:hAnsi="Times"/>
          <w:i/>
        </w:rPr>
        <w:t>Helling</w:t>
      </w:r>
      <w:proofErr w:type="spellEnd"/>
      <w:r>
        <w:rPr>
          <w:rFonts w:ascii="Times" w:hAnsi="Times"/>
          <w:i/>
        </w:rPr>
        <w:t>,</w:t>
      </w:r>
      <w:r>
        <w:rPr>
          <w:rFonts w:ascii="Times" w:hAnsi="Times"/>
        </w:rPr>
        <w:t xml:space="preserve"> a p</w:t>
      </w:r>
      <w:r w:rsidRPr="00F964F8">
        <w:rPr>
          <w:rFonts w:ascii="Times" w:hAnsi="Times"/>
        </w:rPr>
        <w:t xml:space="preserve">laintiff alleged that he was assigned to a cell with another </w:t>
      </w:r>
      <w:r w:rsidR="000C527D">
        <w:rPr>
          <w:rFonts w:ascii="Times" w:hAnsi="Times"/>
        </w:rPr>
        <w:t>person</w:t>
      </w:r>
      <w:r w:rsidR="000C527D" w:rsidRPr="00F964F8">
        <w:rPr>
          <w:rFonts w:ascii="Times" w:hAnsi="Times"/>
        </w:rPr>
        <w:t xml:space="preserve"> </w:t>
      </w:r>
      <w:r w:rsidRPr="00F964F8">
        <w:rPr>
          <w:rFonts w:ascii="Times" w:hAnsi="Times"/>
        </w:rPr>
        <w:t xml:space="preserve">who smoked five packs of cigarettes </w:t>
      </w:r>
      <w:r>
        <w:rPr>
          <w:rFonts w:ascii="Times" w:hAnsi="Times"/>
        </w:rPr>
        <w:t>per</w:t>
      </w:r>
      <w:r w:rsidRPr="00F964F8">
        <w:rPr>
          <w:rFonts w:ascii="Times" w:hAnsi="Times"/>
        </w:rPr>
        <w:t xml:space="preserve"> day.</w:t>
      </w:r>
      <w:r>
        <w:rPr>
          <w:rFonts w:ascii="Times" w:hAnsi="Times"/>
        </w:rPr>
        <w:t xml:space="preserve"> </w:t>
      </w:r>
      <w:r>
        <w:rPr>
          <w:rFonts w:ascii="Times" w:hAnsi="Times"/>
          <w:i/>
          <w:iCs/>
        </w:rPr>
        <w:t>See</w:t>
      </w:r>
      <w:r>
        <w:rPr>
          <w:rFonts w:ascii="Times" w:hAnsi="Times"/>
          <w:iCs/>
        </w:rPr>
        <w:t xml:space="preserve"> </w:t>
      </w:r>
      <w:r w:rsidR="00473811">
        <w:rPr>
          <w:rFonts w:ascii="Times" w:hAnsi="Times"/>
          <w:i/>
          <w:iCs/>
        </w:rPr>
        <w:t>i</w:t>
      </w:r>
      <w:r w:rsidRPr="001141BA">
        <w:rPr>
          <w:rFonts w:ascii="Times" w:hAnsi="Times"/>
          <w:i/>
          <w:iCs/>
        </w:rPr>
        <w:t>d</w:t>
      </w:r>
      <w:r>
        <w:rPr>
          <w:rFonts w:ascii="Times" w:hAnsi="Times"/>
          <w:iCs/>
        </w:rPr>
        <w:t>. at</w:t>
      </w:r>
      <w:r>
        <w:rPr>
          <w:rFonts w:ascii="Times" w:hAnsi="Times"/>
        </w:rPr>
        <w:t xml:space="preserve"> 28</w:t>
      </w:r>
      <w:r w:rsidRPr="00F964F8">
        <w:rPr>
          <w:rFonts w:ascii="Times" w:hAnsi="Times"/>
        </w:rPr>
        <w:t xml:space="preserve">. </w:t>
      </w:r>
      <w:r>
        <w:rPr>
          <w:rFonts w:ascii="Times" w:hAnsi="Times"/>
        </w:rPr>
        <w:t>At issue</w:t>
      </w:r>
      <w:r w:rsidRPr="00F964F8">
        <w:rPr>
          <w:rFonts w:ascii="Times" w:hAnsi="Times"/>
        </w:rPr>
        <w:t xml:space="preserve"> was whether this exposure to environmental tobacco smoke (ETS) could </w:t>
      </w:r>
      <w:r>
        <w:rPr>
          <w:rFonts w:ascii="Times" w:hAnsi="Times"/>
        </w:rPr>
        <w:t>constitute</w:t>
      </w:r>
      <w:r w:rsidRPr="00F964F8">
        <w:rPr>
          <w:rFonts w:ascii="Times" w:hAnsi="Times"/>
        </w:rPr>
        <w:t xml:space="preserve"> a valid claim under the Eighth Amendment, even though </w:t>
      </w:r>
      <w:r>
        <w:rPr>
          <w:rFonts w:ascii="Times" w:hAnsi="Times"/>
        </w:rPr>
        <w:t>the p</w:t>
      </w:r>
      <w:r w:rsidRPr="00F964F8">
        <w:rPr>
          <w:rFonts w:ascii="Times" w:hAnsi="Times"/>
        </w:rPr>
        <w:t>laintiff had not yet suffered harm.</w:t>
      </w:r>
      <w:r>
        <w:rPr>
          <w:rFonts w:ascii="Times" w:hAnsi="Times"/>
        </w:rPr>
        <w:t xml:space="preserve"> </w:t>
      </w:r>
      <w:r w:rsidRPr="00F964F8">
        <w:rPr>
          <w:rFonts w:ascii="Times" w:hAnsi="Times"/>
        </w:rPr>
        <w:t> </w:t>
      </w:r>
      <w:r w:rsidRPr="00F964F8">
        <w:rPr>
          <w:rFonts w:ascii="Times" w:hAnsi="Times"/>
          <w:i/>
          <w:iCs/>
        </w:rPr>
        <w:t>Id.</w:t>
      </w:r>
      <w:r w:rsidRPr="00F964F8">
        <w:rPr>
          <w:rFonts w:ascii="Times" w:hAnsi="Times"/>
        </w:rPr>
        <w:t xml:space="preserve"> at 30. </w:t>
      </w:r>
      <w:r>
        <w:rPr>
          <w:rFonts w:ascii="Times" w:hAnsi="Times"/>
        </w:rPr>
        <w:t xml:space="preserve"> </w:t>
      </w:r>
      <w:r w:rsidRPr="00F964F8">
        <w:rPr>
          <w:rFonts w:ascii="Times" w:hAnsi="Times"/>
        </w:rPr>
        <w:t xml:space="preserve">The Supreme Court upheld the decision of the Court of Appeals, finding that </w:t>
      </w:r>
      <w:r>
        <w:rPr>
          <w:rFonts w:ascii="Times" w:hAnsi="Times"/>
        </w:rPr>
        <w:t>the p</w:t>
      </w:r>
      <w:r w:rsidRPr="00F964F8">
        <w:rPr>
          <w:rFonts w:ascii="Times" w:hAnsi="Times"/>
        </w:rPr>
        <w:t>laintiff state</w:t>
      </w:r>
      <w:r>
        <w:rPr>
          <w:rFonts w:ascii="Times" w:hAnsi="Times"/>
        </w:rPr>
        <w:t>d</w:t>
      </w:r>
      <w:r w:rsidRPr="00F964F8">
        <w:rPr>
          <w:rFonts w:ascii="Times" w:hAnsi="Times"/>
        </w:rPr>
        <w:t xml:space="preserve"> </w:t>
      </w:r>
      <w:r>
        <w:rPr>
          <w:rFonts w:ascii="Times" w:hAnsi="Times"/>
        </w:rPr>
        <w:t>“</w:t>
      </w:r>
      <w:r w:rsidRPr="00F964F8">
        <w:rPr>
          <w:rFonts w:ascii="Times" w:hAnsi="Times"/>
        </w:rPr>
        <w:t>a cause of action under the Eighth Amendment by alleging that petitioners have, with deliberate indifference, exposed him to levels of ETS that pose an unreasonable risk of serious damage to his future health.</w:t>
      </w:r>
      <w:r>
        <w:rPr>
          <w:rFonts w:ascii="Times" w:hAnsi="Times"/>
        </w:rPr>
        <w:t xml:space="preserve">” </w:t>
      </w:r>
      <w:r w:rsidRPr="00F964F8">
        <w:rPr>
          <w:rFonts w:ascii="Times" w:hAnsi="Times"/>
        </w:rPr>
        <w:t> </w:t>
      </w:r>
      <w:r w:rsidRPr="00F964F8">
        <w:rPr>
          <w:rFonts w:ascii="Times" w:hAnsi="Times"/>
          <w:i/>
          <w:iCs/>
        </w:rPr>
        <w:t>Id.</w:t>
      </w:r>
      <w:r w:rsidRPr="00F964F8">
        <w:rPr>
          <w:rFonts w:ascii="Times" w:hAnsi="Times"/>
        </w:rPr>
        <w:t> at 35.</w:t>
      </w:r>
      <w:r>
        <w:rPr>
          <w:rFonts w:ascii="Times" w:hAnsi="Times"/>
        </w:rPr>
        <w:t xml:space="preserve">  “T</w:t>
      </w:r>
      <w:r w:rsidRPr="0039459E">
        <w:rPr>
          <w:rFonts w:ascii="Times" w:hAnsi="Times"/>
        </w:rPr>
        <w:t xml:space="preserve">hough </w:t>
      </w:r>
      <w:proofErr w:type="spellStart"/>
      <w:r w:rsidRPr="0039459E">
        <w:rPr>
          <w:rFonts w:ascii="Times" w:hAnsi="Times"/>
          <w:i/>
          <w:iCs/>
        </w:rPr>
        <w:t>Helling</w:t>
      </w:r>
      <w:proofErr w:type="spellEnd"/>
      <w:r w:rsidRPr="0039459E">
        <w:rPr>
          <w:rFonts w:ascii="Times" w:hAnsi="Times"/>
          <w:i/>
          <w:iCs/>
        </w:rPr>
        <w:t xml:space="preserve"> </w:t>
      </w:r>
      <w:r w:rsidRPr="0039459E">
        <w:rPr>
          <w:rFonts w:ascii="Times" w:hAnsi="Times"/>
        </w:rPr>
        <w:t>directly addressed an inmate</w:t>
      </w:r>
      <w:r w:rsidR="000A7BF0">
        <w:rPr>
          <w:rFonts w:ascii="Times" w:hAnsi="Times"/>
        </w:rPr>
        <w:t>’</w:t>
      </w:r>
      <w:r w:rsidRPr="0039459E">
        <w:rPr>
          <w:rFonts w:ascii="Times" w:hAnsi="Times"/>
        </w:rPr>
        <w:t>s exposure to [secondhand smoke], it tacitly acknowledged other situations in which environmental factors can pose an unreasonable risk to an inmate</w:t>
      </w:r>
      <w:r>
        <w:rPr>
          <w:rFonts w:ascii="Times" w:hAnsi="Times"/>
        </w:rPr>
        <w:t>’</w:t>
      </w:r>
      <w:r w:rsidRPr="0039459E">
        <w:rPr>
          <w:rFonts w:ascii="Times" w:hAnsi="Times"/>
        </w:rPr>
        <w:t xml:space="preserve">s health, including exposure to </w:t>
      </w:r>
      <w:r>
        <w:rPr>
          <w:rFonts w:ascii="Times" w:hAnsi="Times"/>
        </w:rPr>
        <w:t>‘</w:t>
      </w:r>
      <w:r w:rsidRPr="0039459E">
        <w:rPr>
          <w:rFonts w:ascii="Times" w:hAnsi="Times"/>
        </w:rPr>
        <w:t>infectious maladies such as hepatitis and venereal disease</w:t>
      </w:r>
      <w:r>
        <w:rPr>
          <w:rFonts w:ascii="Times" w:hAnsi="Times"/>
        </w:rPr>
        <w:t>’</w:t>
      </w:r>
      <w:r w:rsidRPr="0039459E">
        <w:rPr>
          <w:rFonts w:ascii="Times" w:hAnsi="Times"/>
        </w:rPr>
        <w:t xml:space="preserve"> caused by overcrowding, unsafe drinking water, and </w:t>
      </w:r>
      <w:r>
        <w:rPr>
          <w:rFonts w:ascii="Times" w:hAnsi="Times"/>
        </w:rPr>
        <w:t>‘</w:t>
      </w:r>
      <w:r w:rsidRPr="0039459E">
        <w:rPr>
          <w:rFonts w:ascii="Times" w:hAnsi="Times"/>
        </w:rPr>
        <w:t>toxic or other substances.</w:t>
      </w:r>
      <w:r>
        <w:rPr>
          <w:rFonts w:ascii="Times" w:hAnsi="Times"/>
        </w:rPr>
        <w:t xml:space="preserve">” </w:t>
      </w:r>
      <w:r w:rsidRPr="0039459E">
        <w:rPr>
          <w:rFonts w:ascii="Times" w:hAnsi="Times"/>
        </w:rPr>
        <w:t xml:space="preserve"> </w:t>
      </w:r>
      <w:r w:rsidRPr="0039459E">
        <w:rPr>
          <w:rFonts w:ascii="Times" w:hAnsi="Times"/>
          <w:i/>
          <w:iCs/>
        </w:rPr>
        <w:t>Allen v. Kramer</w:t>
      </w:r>
      <w:r w:rsidRPr="0039459E">
        <w:rPr>
          <w:rFonts w:ascii="Times" w:hAnsi="Times"/>
        </w:rPr>
        <w:t xml:space="preserve">, 2016 U.S. Dist. LEXIS 115024, 2016 WL 4613360, at *7 (E.D. Cal. Aug. 17, 2016) (quoting </w:t>
      </w:r>
      <w:proofErr w:type="spellStart"/>
      <w:r w:rsidRPr="00BF0937">
        <w:rPr>
          <w:rFonts w:ascii="Times" w:hAnsi="Times"/>
          <w:i/>
          <w:iCs/>
        </w:rPr>
        <w:t>Helling</w:t>
      </w:r>
      <w:proofErr w:type="spellEnd"/>
      <w:r w:rsidRPr="0039459E">
        <w:rPr>
          <w:rFonts w:ascii="Times" w:hAnsi="Times"/>
        </w:rPr>
        <w:t xml:space="preserve">, 509 U.S. at 33, 35.) </w:t>
      </w:r>
    </w:p>
    <w:p w14:paraId="0960A674" w14:textId="096B1E77" w:rsidR="000A7BF0" w:rsidRDefault="000A7BF0" w:rsidP="000A7BF0">
      <w:pPr>
        <w:spacing w:line="480" w:lineRule="auto"/>
        <w:ind w:firstLine="720"/>
      </w:pPr>
      <w:r>
        <w:rPr>
          <w:rFonts w:ascii="Times" w:hAnsi="Times"/>
        </w:rPr>
        <w:t xml:space="preserve">Courts have applied </w:t>
      </w:r>
      <w:proofErr w:type="spellStart"/>
      <w:r w:rsidR="00B74DC3" w:rsidRPr="00BF0937">
        <w:rPr>
          <w:rFonts w:ascii="Times" w:hAnsi="Times"/>
          <w:i/>
          <w:iCs/>
        </w:rPr>
        <w:t>Helling</w:t>
      </w:r>
      <w:proofErr w:type="spellEnd"/>
      <w:r w:rsidR="00B74DC3" w:rsidRPr="0039459E">
        <w:rPr>
          <w:rFonts w:ascii="Times" w:hAnsi="Times"/>
        </w:rPr>
        <w:t xml:space="preserve"> to </w:t>
      </w:r>
      <w:r w:rsidR="00B74DC3">
        <w:rPr>
          <w:rFonts w:ascii="Times" w:hAnsi="Times"/>
        </w:rPr>
        <w:t>“</w:t>
      </w:r>
      <w:r w:rsidR="00B74DC3" w:rsidRPr="0039459E">
        <w:rPr>
          <w:rFonts w:ascii="Times" w:hAnsi="Times"/>
        </w:rPr>
        <w:t xml:space="preserve">contagious diseases caused by overcrowding conditions, </w:t>
      </w:r>
      <w:r w:rsidR="00B74DC3" w:rsidRPr="00BF0937">
        <w:rPr>
          <w:rFonts w:ascii="Times" w:hAnsi="Times"/>
          <w:i/>
          <w:iCs/>
        </w:rPr>
        <w:t>Brown v. Mitchell</w:t>
      </w:r>
      <w:r w:rsidR="00B74DC3" w:rsidRPr="0039459E">
        <w:rPr>
          <w:rFonts w:ascii="Times" w:hAnsi="Times"/>
        </w:rPr>
        <w:t xml:space="preserve">, 327 F. Supp. 2d 615, 650 (E.D. Va. July 28, 2004); contaminated water, </w:t>
      </w:r>
      <w:r w:rsidR="00B74DC3" w:rsidRPr="00BF0937">
        <w:rPr>
          <w:rFonts w:ascii="Times" w:hAnsi="Times"/>
          <w:i/>
          <w:iCs/>
        </w:rPr>
        <w:t xml:space="preserve">Carroll v. </w:t>
      </w:r>
      <w:proofErr w:type="spellStart"/>
      <w:r w:rsidR="00B74DC3" w:rsidRPr="00BF0937">
        <w:rPr>
          <w:rFonts w:ascii="Times" w:hAnsi="Times"/>
          <w:i/>
          <w:iCs/>
        </w:rPr>
        <w:t>DeTella</w:t>
      </w:r>
      <w:proofErr w:type="spellEnd"/>
      <w:r w:rsidR="00B74DC3" w:rsidRPr="0039459E">
        <w:rPr>
          <w:rFonts w:ascii="Times" w:hAnsi="Times"/>
        </w:rPr>
        <w:t xml:space="preserve">, 255 F.3d 470, 472 (7th Cir. 2001); compelled use of chemical toilets, </w:t>
      </w:r>
      <w:proofErr w:type="spellStart"/>
      <w:r w:rsidR="00B74DC3" w:rsidRPr="00BF0937">
        <w:rPr>
          <w:rFonts w:ascii="Times" w:hAnsi="Times"/>
          <w:i/>
          <w:iCs/>
        </w:rPr>
        <w:t>Masonoff</w:t>
      </w:r>
      <w:proofErr w:type="spellEnd"/>
      <w:r w:rsidR="00B74DC3" w:rsidRPr="00BF0937">
        <w:rPr>
          <w:rFonts w:ascii="Times" w:hAnsi="Times"/>
          <w:i/>
          <w:iCs/>
        </w:rPr>
        <w:t xml:space="preserve"> v. DuBois</w:t>
      </w:r>
      <w:r w:rsidR="00B74DC3" w:rsidRPr="0039459E">
        <w:rPr>
          <w:rFonts w:ascii="Times" w:hAnsi="Times"/>
        </w:rPr>
        <w:t xml:space="preserve">, 899 F. Supp. 782, 797 (D. Mass. Sep. 11, 1995), </w:t>
      </w:r>
      <w:r>
        <w:rPr>
          <w:rFonts w:ascii="Times" w:hAnsi="Times"/>
        </w:rPr>
        <w:t xml:space="preserve">asbestos, </w:t>
      </w:r>
      <w:r w:rsidRPr="00BF0937">
        <w:rPr>
          <w:rFonts w:ascii="Times" w:hAnsi="Times"/>
          <w:i/>
          <w:iCs/>
        </w:rPr>
        <w:t>Wallis v. Baldwin</w:t>
      </w:r>
      <w:r w:rsidRPr="00BF0937">
        <w:rPr>
          <w:rFonts w:ascii="Times" w:hAnsi="Times"/>
        </w:rPr>
        <w:t xml:space="preserve"> 70 F.3d 1074</w:t>
      </w:r>
      <w:r>
        <w:rPr>
          <w:rFonts w:ascii="Times" w:hAnsi="Times"/>
        </w:rPr>
        <w:t xml:space="preserve"> </w:t>
      </w:r>
      <w:r w:rsidRPr="00BF0937">
        <w:rPr>
          <w:rFonts w:ascii="Times" w:hAnsi="Times"/>
        </w:rPr>
        <w:t>(9th Cir. 1995)</w:t>
      </w:r>
      <w:r>
        <w:rPr>
          <w:rFonts w:ascii="Times" w:hAnsi="Times"/>
        </w:rPr>
        <w:t xml:space="preserve">, </w:t>
      </w:r>
      <w:r w:rsidR="00B74DC3" w:rsidRPr="0039459E">
        <w:rPr>
          <w:rFonts w:ascii="Times" w:hAnsi="Times"/>
        </w:rPr>
        <w:t xml:space="preserve">[and] paint toxins, </w:t>
      </w:r>
      <w:r w:rsidR="00B74DC3" w:rsidRPr="00BF0937">
        <w:rPr>
          <w:rFonts w:ascii="Times" w:hAnsi="Times"/>
          <w:i/>
          <w:iCs/>
        </w:rPr>
        <w:t>Crawford v. Coughlin</w:t>
      </w:r>
      <w:r w:rsidR="00B74DC3" w:rsidRPr="0039459E">
        <w:rPr>
          <w:rFonts w:ascii="Times" w:hAnsi="Times"/>
        </w:rPr>
        <w:t>, 43 F. Supp. 2d 319, 325 (W.D.N.Y. 1999).</w:t>
      </w:r>
      <w:r w:rsidR="00B74DC3">
        <w:rPr>
          <w:rFonts w:ascii="Times" w:hAnsi="Times"/>
        </w:rPr>
        <w:t>”</w:t>
      </w:r>
      <w:r w:rsidR="00B74DC3" w:rsidRPr="0039459E">
        <w:rPr>
          <w:rFonts w:ascii="Times" w:hAnsi="Times"/>
        </w:rPr>
        <w:t xml:space="preserve"> </w:t>
      </w:r>
      <w:r w:rsidR="00B74DC3" w:rsidRPr="00BF0937">
        <w:rPr>
          <w:rFonts w:ascii="Times" w:hAnsi="Times"/>
          <w:i/>
          <w:iCs/>
        </w:rPr>
        <w:t>Allen</w:t>
      </w:r>
      <w:r w:rsidR="00B74DC3" w:rsidRPr="0039459E">
        <w:rPr>
          <w:rFonts w:ascii="Times" w:hAnsi="Times"/>
        </w:rPr>
        <w:t>, 2016 U.S. Dist. LEXIS 115024, 2016 WL 4613360, at *8.</w:t>
      </w:r>
    </w:p>
    <w:p w14:paraId="3145234F" w14:textId="75A6472F" w:rsidR="000A7BF0" w:rsidRDefault="00B74DC3" w:rsidP="000A7BF0">
      <w:pPr>
        <w:spacing w:line="480" w:lineRule="auto"/>
        <w:ind w:firstLine="720"/>
        <w:rPr>
          <w:rFonts w:ascii="Times" w:hAnsi="Times"/>
        </w:rPr>
      </w:pPr>
      <w:r>
        <w:rPr>
          <w:rFonts w:ascii="Times" w:hAnsi="Times"/>
        </w:rPr>
        <w:t xml:space="preserve">Perhaps most applicable to COVID-19, </w:t>
      </w:r>
      <w:proofErr w:type="gramStart"/>
      <w:r>
        <w:rPr>
          <w:rFonts w:ascii="Times" w:hAnsi="Times"/>
        </w:rPr>
        <w:t>a number of</w:t>
      </w:r>
      <w:proofErr w:type="gramEnd"/>
      <w:r>
        <w:rPr>
          <w:rFonts w:ascii="Times" w:hAnsi="Times"/>
        </w:rPr>
        <w:t xml:space="preserve"> cases have applied </w:t>
      </w:r>
      <w:proofErr w:type="spellStart"/>
      <w:r w:rsidRPr="00E96252">
        <w:rPr>
          <w:rFonts w:ascii="Times" w:hAnsi="Times"/>
          <w:i/>
          <w:iCs/>
        </w:rPr>
        <w:t>Helling</w:t>
      </w:r>
      <w:proofErr w:type="spellEnd"/>
      <w:r>
        <w:rPr>
          <w:rFonts w:ascii="Times" w:hAnsi="Times"/>
        </w:rPr>
        <w:t xml:space="preserve"> to the exposure of </w:t>
      </w:r>
      <w:r w:rsidR="000C527D">
        <w:rPr>
          <w:rFonts w:ascii="Times" w:hAnsi="Times"/>
        </w:rPr>
        <w:t xml:space="preserve">detained people </w:t>
      </w:r>
      <w:r>
        <w:rPr>
          <w:rFonts w:ascii="Times" w:hAnsi="Times"/>
        </w:rPr>
        <w:t xml:space="preserve">to Valley Fever in California.  </w:t>
      </w:r>
      <w:r w:rsidRPr="0039459E">
        <w:rPr>
          <w:rFonts w:ascii="Times" w:hAnsi="Times"/>
        </w:rPr>
        <w:t xml:space="preserve">Relying on </w:t>
      </w:r>
      <w:proofErr w:type="spellStart"/>
      <w:r w:rsidRPr="00E96252">
        <w:rPr>
          <w:rFonts w:ascii="Times" w:hAnsi="Times"/>
          <w:i/>
          <w:iCs/>
        </w:rPr>
        <w:t>Helling</w:t>
      </w:r>
      <w:proofErr w:type="spellEnd"/>
      <w:r w:rsidRPr="0039459E">
        <w:rPr>
          <w:rFonts w:ascii="Times" w:hAnsi="Times"/>
        </w:rPr>
        <w:t xml:space="preserve">, </w:t>
      </w:r>
      <w:r w:rsidRPr="00E96252">
        <w:rPr>
          <w:rFonts w:ascii="Times" w:hAnsi="Times"/>
          <w:i/>
          <w:iCs/>
        </w:rPr>
        <w:t>Allen</w:t>
      </w:r>
      <w:r w:rsidRPr="0039459E">
        <w:rPr>
          <w:rFonts w:ascii="Times" w:hAnsi="Times"/>
        </w:rPr>
        <w:t xml:space="preserve"> </w:t>
      </w:r>
      <w:r w:rsidRPr="0039459E">
        <w:rPr>
          <w:rFonts w:ascii="Times" w:hAnsi="Times"/>
          <w:i/>
          <w:iCs/>
        </w:rPr>
        <w:t>v. Kramer</w:t>
      </w:r>
      <w:r w:rsidRPr="0039459E">
        <w:rPr>
          <w:rFonts w:ascii="Times" w:hAnsi="Times"/>
        </w:rPr>
        <w:t xml:space="preserve"> concluded that </w:t>
      </w:r>
      <w:r>
        <w:rPr>
          <w:rFonts w:ascii="Times" w:hAnsi="Times"/>
        </w:rPr>
        <w:t>a</w:t>
      </w:r>
      <w:r w:rsidR="000C527D">
        <w:rPr>
          <w:rFonts w:ascii="Times" w:hAnsi="Times"/>
        </w:rPr>
        <w:t xml:space="preserve"> detained</w:t>
      </w:r>
      <w:r>
        <w:rPr>
          <w:rFonts w:ascii="Times" w:hAnsi="Times"/>
        </w:rPr>
        <w:t xml:space="preserve"> </w:t>
      </w:r>
      <w:r w:rsidRPr="0039459E">
        <w:rPr>
          <w:rFonts w:ascii="Times" w:hAnsi="Times"/>
        </w:rPr>
        <w:t xml:space="preserve">plaintiff had alleged </w:t>
      </w:r>
      <w:r>
        <w:rPr>
          <w:rFonts w:ascii="Times" w:hAnsi="Times"/>
        </w:rPr>
        <w:t xml:space="preserve">an Eighth Amendment violation </w:t>
      </w:r>
      <w:r w:rsidRPr="0039459E">
        <w:rPr>
          <w:rFonts w:ascii="Times" w:hAnsi="Times"/>
        </w:rPr>
        <w:t xml:space="preserve">because he was </w:t>
      </w:r>
      <w:r w:rsidRPr="0039459E">
        <w:rPr>
          <w:rFonts w:ascii="Times" w:hAnsi="Times"/>
        </w:rPr>
        <w:lastRenderedPageBreak/>
        <w:t xml:space="preserve">housed in the Central Valley where there </w:t>
      </w:r>
      <w:r>
        <w:rPr>
          <w:rFonts w:ascii="Times" w:hAnsi="Times"/>
        </w:rPr>
        <w:t>was</w:t>
      </w:r>
      <w:r w:rsidRPr="0039459E">
        <w:rPr>
          <w:rFonts w:ascii="Times" w:hAnsi="Times"/>
        </w:rPr>
        <w:t xml:space="preserve"> a relatively high risk of contracting Valley Fever. </w:t>
      </w:r>
      <w:r w:rsidRPr="00E96252">
        <w:rPr>
          <w:rFonts w:ascii="Times" w:hAnsi="Times"/>
          <w:i/>
          <w:iCs/>
        </w:rPr>
        <w:t>See</w:t>
      </w:r>
      <w:r w:rsidRPr="0039459E">
        <w:rPr>
          <w:rFonts w:ascii="Times" w:hAnsi="Times"/>
        </w:rPr>
        <w:t xml:space="preserve"> </w:t>
      </w:r>
      <w:r w:rsidRPr="00E96252">
        <w:rPr>
          <w:rFonts w:ascii="Times" w:hAnsi="Times"/>
          <w:i/>
          <w:iCs/>
        </w:rPr>
        <w:t>Allen</w:t>
      </w:r>
      <w:r w:rsidRPr="0039459E">
        <w:rPr>
          <w:rFonts w:ascii="Times" w:hAnsi="Times"/>
        </w:rPr>
        <w:t xml:space="preserve">, 2016 U.S. Dist. LEXIS 115024, 2016 WL 4613360, at *1, 11. </w:t>
      </w:r>
      <w:r>
        <w:rPr>
          <w:rFonts w:ascii="Times" w:hAnsi="Times"/>
        </w:rPr>
        <w:t xml:space="preserve"> </w:t>
      </w:r>
      <w:r w:rsidRPr="00E96252">
        <w:rPr>
          <w:rFonts w:ascii="Times" w:hAnsi="Times"/>
          <w:i/>
          <w:iCs/>
        </w:rPr>
        <w:t>Shabazz</w:t>
      </w:r>
      <w:r w:rsidRPr="0039459E">
        <w:rPr>
          <w:rFonts w:ascii="Times" w:hAnsi="Times"/>
        </w:rPr>
        <w:t xml:space="preserve"> adopted </w:t>
      </w:r>
      <w:r w:rsidRPr="00026587">
        <w:rPr>
          <w:rFonts w:ascii="Times" w:hAnsi="Times"/>
          <w:i/>
        </w:rPr>
        <w:t>Allen</w:t>
      </w:r>
      <w:r>
        <w:rPr>
          <w:rFonts w:ascii="Times" w:hAnsi="Times"/>
        </w:rPr>
        <w:t>’</w:t>
      </w:r>
      <w:r w:rsidRPr="0039459E">
        <w:rPr>
          <w:rFonts w:ascii="Times" w:hAnsi="Times"/>
        </w:rPr>
        <w:t xml:space="preserve">s reasoning and came to the same conclusion. </w:t>
      </w:r>
      <w:r w:rsidRPr="00E96252">
        <w:rPr>
          <w:rFonts w:ascii="Times" w:hAnsi="Times"/>
          <w:i/>
          <w:iCs/>
        </w:rPr>
        <w:t>Shabazz v. Beard</w:t>
      </w:r>
      <w:r w:rsidRPr="0039459E">
        <w:rPr>
          <w:rFonts w:ascii="Times" w:hAnsi="Times"/>
        </w:rPr>
        <w:t>, 2018 U.S. Dist. LEXIS 31785, 2018 WL 1071173, at *7-9 (E.D. Cal. Feb. 27, 2018)</w:t>
      </w:r>
      <w:r>
        <w:rPr>
          <w:rFonts w:ascii="Times" w:hAnsi="Times"/>
        </w:rPr>
        <w:t xml:space="preserve">; </w:t>
      </w:r>
      <w:r w:rsidRPr="00F964F8">
        <w:rPr>
          <w:rFonts w:ascii="Times" w:hAnsi="Times"/>
          <w:i/>
          <w:iCs/>
        </w:rPr>
        <w:t>see also</w:t>
      </w:r>
      <w:r>
        <w:rPr>
          <w:rFonts w:ascii="Times" w:hAnsi="Times"/>
        </w:rPr>
        <w:t xml:space="preserve"> </w:t>
      </w:r>
      <w:r w:rsidRPr="0089572D">
        <w:rPr>
          <w:rFonts w:ascii="Times" w:hAnsi="Times"/>
          <w:i/>
          <w:iCs/>
        </w:rPr>
        <w:t>Jackson v. California</w:t>
      </w:r>
      <w:r w:rsidRPr="00F964F8">
        <w:rPr>
          <w:rFonts w:ascii="Times" w:hAnsi="Times"/>
        </w:rPr>
        <w:t> 2014 U.S.</w:t>
      </w:r>
      <w:r>
        <w:rPr>
          <w:rFonts w:ascii="Times" w:hAnsi="Times"/>
        </w:rPr>
        <w:t xml:space="preserve"> </w:t>
      </w:r>
      <w:r w:rsidRPr="00F964F8">
        <w:rPr>
          <w:rFonts w:ascii="Times" w:hAnsi="Times"/>
        </w:rPr>
        <w:t>Dist.</w:t>
      </w:r>
      <w:r>
        <w:rPr>
          <w:rFonts w:ascii="Times" w:hAnsi="Times"/>
        </w:rPr>
        <w:t xml:space="preserve"> </w:t>
      </w:r>
      <w:r w:rsidRPr="00F964F8">
        <w:rPr>
          <w:rFonts w:ascii="Times" w:hAnsi="Times"/>
        </w:rPr>
        <w:t>LEXIS 22966, at *32-38</w:t>
      </w:r>
      <w:r>
        <w:rPr>
          <w:rFonts w:ascii="Times" w:hAnsi="Times"/>
        </w:rPr>
        <w:t xml:space="preserve"> </w:t>
      </w:r>
      <w:r w:rsidRPr="00F964F8">
        <w:rPr>
          <w:rFonts w:ascii="Times" w:hAnsi="Times"/>
        </w:rPr>
        <w:t>(E.D.</w:t>
      </w:r>
      <w:r>
        <w:rPr>
          <w:rFonts w:ascii="Times" w:hAnsi="Times"/>
        </w:rPr>
        <w:t xml:space="preserve"> </w:t>
      </w:r>
      <w:r w:rsidRPr="00F964F8">
        <w:rPr>
          <w:rFonts w:ascii="Times" w:hAnsi="Times"/>
        </w:rPr>
        <w:t>Cal.</w:t>
      </w:r>
      <w:r>
        <w:rPr>
          <w:rFonts w:ascii="Times" w:hAnsi="Times"/>
        </w:rPr>
        <w:t xml:space="preserve"> </w:t>
      </w:r>
      <w:r w:rsidRPr="00F964F8">
        <w:rPr>
          <w:rFonts w:ascii="Times" w:hAnsi="Times"/>
        </w:rPr>
        <w:t>Feb. 20, 2014, No. 1:13-cv-01055-LJO-SAB)</w:t>
      </w:r>
      <w:r>
        <w:rPr>
          <w:rFonts w:ascii="Times" w:hAnsi="Times"/>
        </w:rPr>
        <w:t xml:space="preserve"> (overruled on other grounds in </w:t>
      </w:r>
      <w:r w:rsidRPr="00E96252">
        <w:rPr>
          <w:rFonts w:ascii="Times" w:hAnsi="Times"/>
          <w:i/>
          <w:iCs/>
        </w:rPr>
        <w:t xml:space="preserve">Hines v. </w:t>
      </w:r>
      <w:proofErr w:type="spellStart"/>
      <w:r w:rsidRPr="00E96252">
        <w:rPr>
          <w:rFonts w:ascii="Times" w:hAnsi="Times"/>
          <w:i/>
          <w:iCs/>
        </w:rPr>
        <w:t>Youseff</w:t>
      </w:r>
      <w:proofErr w:type="spellEnd"/>
      <w:r>
        <w:rPr>
          <w:rFonts w:ascii="Times" w:hAnsi="Times"/>
        </w:rPr>
        <w:t xml:space="preserve">, </w:t>
      </w:r>
      <w:r w:rsidRPr="0039459E">
        <w:rPr>
          <w:rFonts w:ascii="Times" w:hAnsi="Times"/>
        </w:rPr>
        <w:t>914 F.3d 1218</w:t>
      </w:r>
      <w:r>
        <w:rPr>
          <w:rFonts w:ascii="Times" w:hAnsi="Times"/>
        </w:rPr>
        <w:t xml:space="preserve">, </w:t>
      </w:r>
      <w:r w:rsidRPr="0039459E">
        <w:rPr>
          <w:rFonts w:ascii="Times" w:hAnsi="Times"/>
        </w:rPr>
        <w:t>1231</w:t>
      </w:r>
      <w:r>
        <w:rPr>
          <w:rFonts w:ascii="Times" w:hAnsi="Times"/>
        </w:rPr>
        <w:t xml:space="preserve"> </w:t>
      </w:r>
      <w:r w:rsidRPr="0039459E">
        <w:rPr>
          <w:rFonts w:ascii="Times" w:hAnsi="Times"/>
        </w:rPr>
        <w:t>(9th Cir. 2019)</w:t>
      </w:r>
      <w:r>
        <w:rPr>
          <w:rFonts w:ascii="Times" w:hAnsi="Times"/>
        </w:rPr>
        <w:t xml:space="preserve"> (explicitly declining to reach Eighth Amendment question but reversing on fact-specific finding of qualified immunity)).</w:t>
      </w:r>
    </w:p>
    <w:p w14:paraId="02A04266" w14:textId="0705C0C7" w:rsidR="000A7BF0" w:rsidRDefault="00B74DC3" w:rsidP="000A7BF0">
      <w:pPr>
        <w:spacing w:line="480" w:lineRule="auto"/>
        <w:ind w:firstLine="720"/>
        <w:rPr>
          <w:rFonts w:ascii="Times" w:hAnsi="Times"/>
        </w:rPr>
      </w:pPr>
      <w:r>
        <w:rPr>
          <w:rFonts w:ascii="Times" w:hAnsi="Times"/>
        </w:rPr>
        <w:t xml:space="preserve">The reasoning of </w:t>
      </w:r>
      <w:r w:rsidRPr="00E96252">
        <w:rPr>
          <w:rFonts w:ascii="Times" w:hAnsi="Times"/>
          <w:i/>
          <w:iCs/>
        </w:rPr>
        <w:t>Allen</w:t>
      </w:r>
      <w:r w:rsidRPr="0039459E">
        <w:rPr>
          <w:rFonts w:ascii="Times" w:hAnsi="Times"/>
        </w:rPr>
        <w:t xml:space="preserve"> </w:t>
      </w:r>
      <w:r w:rsidRPr="0039459E">
        <w:rPr>
          <w:rFonts w:ascii="Times" w:hAnsi="Times"/>
          <w:i/>
          <w:iCs/>
        </w:rPr>
        <w:t>v. Kramer</w:t>
      </w:r>
      <w:r>
        <w:rPr>
          <w:rFonts w:ascii="Times" w:hAnsi="Times"/>
        </w:rPr>
        <w:t xml:space="preserve">, </w:t>
      </w:r>
      <w:r w:rsidRPr="00E96252">
        <w:rPr>
          <w:rFonts w:ascii="Times" w:hAnsi="Times"/>
          <w:i/>
          <w:iCs/>
        </w:rPr>
        <w:t>Shabazz v. Beard</w:t>
      </w:r>
      <w:r>
        <w:rPr>
          <w:rFonts w:ascii="Times" w:hAnsi="Times"/>
        </w:rPr>
        <w:t xml:space="preserve">, and </w:t>
      </w:r>
      <w:r w:rsidRPr="0089572D">
        <w:rPr>
          <w:rFonts w:ascii="Times" w:hAnsi="Times"/>
          <w:i/>
          <w:iCs/>
        </w:rPr>
        <w:t>Jackson v. California</w:t>
      </w:r>
      <w:r>
        <w:rPr>
          <w:rFonts w:ascii="Times" w:hAnsi="Times"/>
        </w:rPr>
        <w:t xml:space="preserve">, and other cases applying </w:t>
      </w:r>
      <w:proofErr w:type="spellStart"/>
      <w:r w:rsidRPr="00DF6A8D">
        <w:rPr>
          <w:rFonts w:ascii="Times" w:hAnsi="Times"/>
          <w:i/>
          <w:iCs/>
        </w:rPr>
        <w:t>Helling</w:t>
      </w:r>
      <w:proofErr w:type="spellEnd"/>
      <w:r>
        <w:rPr>
          <w:rFonts w:ascii="Times" w:hAnsi="Times"/>
        </w:rPr>
        <w:t xml:space="preserve"> to exposure to environmental risks applies with equal or greater force to COVID-19, and establishes that officials who fail to adequately protect </w:t>
      </w:r>
      <w:r w:rsidR="000C527D">
        <w:rPr>
          <w:rFonts w:ascii="Times" w:hAnsi="Times"/>
        </w:rPr>
        <w:t xml:space="preserve">incarcerated people </w:t>
      </w:r>
      <w:r>
        <w:rPr>
          <w:rFonts w:ascii="Times" w:hAnsi="Times"/>
        </w:rPr>
        <w:t xml:space="preserve">from the risk of contracting COVID-19 violate the Eighth Amendment.  </w:t>
      </w:r>
      <w:r w:rsidR="004D10D9" w:rsidRPr="009F2B53">
        <w:rPr>
          <w:rFonts w:ascii="Times" w:hAnsi="Times"/>
          <w:i/>
          <w:iCs/>
        </w:rPr>
        <w:t xml:space="preserve">See </w:t>
      </w:r>
      <w:r w:rsidR="004D10D9" w:rsidRPr="009F2B53">
        <w:rPr>
          <w:i/>
          <w:iCs/>
        </w:rPr>
        <w:t>Plata v. Newsom,</w:t>
      </w:r>
      <w:r w:rsidR="004D10D9">
        <w:rPr>
          <w:i/>
          <w:iCs/>
        </w:rPr>
        <w:t xml:space="preserve"> </w:t>
      </w:r>
      <w:r w:rsidR="004D10D9">
        <w:t xml:space="preserve">No. </w:t>
      </w:r>
      <w:r w:rsidR="004D10D9" w:rsidRPr="00DA6EC8">
        <w:t>4:01-cv-01351</w:t>
      </w:r>
      <w:r w:rsidR="004D10D9">
        <w:t xml:space="preserve"> at</w:t>
      </w:r>
      <w:r w:rsidR="004D10D9">
        <w:rPr>
          <w:i/>
          <w:iCs/>
        </w:rPr>
        <w:t xml:space="preserve"> </w:t>
      </w:r>
      <w:r w:rsidR="009F2B53">
        <w:rPr>
          <w:i/>
          <w:iCs/>
        </w:rPr>
        <w:t>*</w:t>
      </w:r>
      <w:r w:rsidR="004D10D9">
        <w:t>8 (“As a general matter, we agree that the Eighth Amendment requires Defendants to take adequate steps to curb the spread of disease within the prison system.”);</w:t>
      </w:r>
      <w:r w:rsidR="009F2B53">
        <w:rPr>
          <w:rStyle w:val="FootnoteReference"/>
        </w:rPr>
        <w:footnoteReference w:id="27"/>
      </w:r>
      <w:r w:rsidR="004D10D9">
        <w:t xml:space="preserve"> </w:t>
      </w:r>
      <w:r w:rsidR="004D10D9">
        <w:rPr>
          <w:i/>
          <w:iCs/>
        </w:rPr>
        <w:t>id</w:t>
      </w:r>
      <w:r w:rsidR="004D10D9">
        <w:t>. (Mueller, C.J., concurring) at 15 (arguing that the court “retains broad equitable powers that might permit some reconsideration of the current [population] cap in light of the unprecedented exigent circumstances” posed by COVID-19.)</w:t>
      </w:r>
      <w:r w:rsidR="004D10D9">
        <w:rPr>
          <w:rFonts w:ascii="Times" w:hAnsi="Times"/>
        </w:rPr>
        <w:t xml:space="preserve">. </w:t>
      </w:r>
      <w:r>
        <w:rPr>
          <w:rFonts w:ascii="Times" w:hAnsi="Times"/>
        </w:rPr>
        <w:t>Where protections from COVID-19 for incarcerated clients are insufficient, as in this case, whether for the jail population as a whole or for particularly at-risk individuals, release is constitutionally mandated.</w:t>
      </w:r>
    </w:p>
    <w:p w14:paraId="45BF32CC" w14:textId="4E3DAFA9" w:rsidR="00AA4FAA" w:rsidRDefault="00B74DC3" w:rsidP="00A751CC">
      <w:pPr>
        <w:spacing w:line="480" w:lineRule="auto"/>
        <w:ind w:firstLine="720"/>
        <w:rPr>
          <w:rFonts w:ascii="Times" w:hAnsi="Times"/>
        </w:rPr>
      </w:pPr>
      <w:r>
        <w:rPr>
          <w:rFonts w:ascii="Times" w:hAnsi="Times"/>
        </w:rPr>
        <w:t xml:space="preserve">Here, </w:t>
      </w:r>
      <w:r w:rsidR="006C2134" w:rsidRPr="006C2134">
        <w:rPr>
          <w:rFonts w:ascii="Times" w:hAnsi="Times"/>
          <w:highlight w:val="yellow"/>
        </w:rPr>
        <w:t>[</w:t>
      </w:r>
      <w:r w:rsidRPr="006C2134">
        <w:rPr>
          <w:rFonts w:ascii="Times" w:hAnsi="Times"/>
          <w:highlight w:val="yellow"/>
        </w:rPr>
        <w:t>CLIENT</w:t>
      </w:r>
      <w:r w:rsidR="006C2134" w:rsidRPr="006C2134">
        <w:rPr>
          <w:rFonts w:ascii="Times" w:hAnsi="Times"/>
          <w:highlight w:val="yellow"/>
        </w:rPr>
        <w:t>]</w:t>
      </w:r>
      <w:r>
        <w:rPr>
          <w:rFonts w:ascii="Times" w:hAnsi="Times"/>
        </w:rPr>
        <w:t xml:space="preserve"> is housed at a facility that is unable to adequately protect </w:t>
      </w:r>
      <w:r w:rsidR="006C2134" w:rsidRPr="00B74DC3">
        <w:rPr>
          <w:highlight w:val="yellow"/>
        </w:rPr>
        <w:t>[his/her/their]</w:t>
      </w:r>
      <w:r w:rsidR="006C2134">
        <w:t xml:space="preserve"> </w:t>
      </w:r>
      <w:r>
        <w:rPr>
          <w:rFonts w:ascii="Times" w:hAnsi="Times"/>
        </w:rPr>
        <w:t xml:space="preserve">from contracting the virus, and more importantly, places </w:t>
      </w:r>
      <w:r w:rsidR="006C2134" w:rsidRPr="00B74DC3">
        <w:rPr>
          <w:highlight w:val="yellow"/>
        </w:rPr>
        <w:t>[his/her/their]</w:t>
      </w:r>
      <w:r w:rsidR="006C2134">
        <w:t xml:space="preserve"> </w:t>
      </w:r>
      <w:r>
        <w:rPr>
          <w:rFonts w:ascii="Times" w:hAnsi="Times"/>
        </w:rPr>
        <w:t xml:space="preserve">at a heightened risk of </w:t>
      </w:r>
      <w:r>
        <w:rPr>
          <w:rFonts w:ascii="Times" w:hAnsi="Times"/>
        </w:rPr>
        <w:lastRenderedPageBreak/>
        <w:t xml:space="preserve">exposure due to the environmental conditions of the </w:t>
      </w:r>
      <w:r w:rsidR="006C2134" w:rsidRPr="006C2134">
        <w:rPr>
          <w:rFonts w:ascii="Times" w:hAnsi="Times"/>
          <w:highlight w:val="yellow"/>
        </w:rPr>
        <w:t>[DETENTION FACILITY]</w:t>
      </w:r>
      <w:r>
        <w:rPr>
          <w:rFonts w:ascii="Times" w:hAnsi="Times"/>
        </w:rPr>
        <w:t xml:space="preserve">. </w:t>
      </w:r>
      <w:r w:rsidR="006C2134" w:rsidRPr="00B74DC3">
        <w:rPr>
          <w:highlight w:val="yellow"/>
        </w:rPr>
        <w:t>[</w:t>
      </w:r>
      <w:r w:rsidR="006C2134">
        <w:rPr>
          <w:highlight w:val="yellow"/>
        </w:rPr>
        <w:t>H</w:t>
      </w:r>
      <w:r w:rsidR="006C2134" w:rsidRPr="00B74DC3">
        <w:rPr>
          <w:highlight w:val="yellow"/>
        </w:rPr>
        <w:t>is/</w:t>
      </w:r>
      <w:r w:rsidR="006C2134">
        <w:rPr>
          <w:highlight w:val="yellow"/>
        </w:rPr>
        <w:t>H</w:t>
      </w:r>
      <w:r w:rsidR="006C2134" w:rsidRPr="00B74DC3">
        <w:rPr>
          <w:highlight w:val="yellow"/>
        </w:rPr>
        <w:t>er/</w:t>
      </w:r>
      <w:r w:rsidR="006C2134">
        <w:rPr>
          <w:highlight w:val="yellow"/>
        </w:rPr>
        <w:t>T</w:t>
      </w:r>
      <w:r w:rsidR="006C2134" w:rsidRPr="00B74DC3">
        <w:rPr>
          <w:highlight w:val="yellow"/>
        </w:rPr>
        <w:t>heir]</w:t>
      </w:r>
      <w:r w:rsidR="006C2134">
        <w:t xml:space="preserve"> </w:t>
      </w:r>
      <w:r>
        <w:rPr>
          <w:rFonts w:ascii="Times" w:hAnsi="Times"/>
        </w:rPr>
        <w:t xml:space="preserve">continued detention under these conditions violates the </w:t>
      </w:r>
      <w:r w:rsidR="006C2134">
        <w:rPr>
          <w:rFonts w:ascii="Times" w:hAnsi="Times"/>
        </w:rPr>
        <w:t xml:space="preserve">Eighth </w:t>
      </w:r>
      <w:r>
        <w:rPr>
          <w:rFonts w:ascii="Times" w:hAnsi="Times"/>
        </w:rPr>
        <w:t xml:space="preserve">Amendment, and necessitates </w:t>
      </w:r>
      <w:r w:rsidR="006C2134" w:rsidRPr="00B74DC3">
        <w:rPr>
          <w:highlight w:val="yellow"/>
        </w:rPr>
        <w:t>[his/her/their]</w:t>
      </w:r>
      <w:r w:rsidR="006C2134">
        <w:t xml:space="preserve"> </w:t>
      </w:r>
      <w:r>
        <w:rPr>
          <w:rFonts w:ascii="Times" w:hAnsi="Times"/>
        </w:rPr>
        <w:t xml:space="preserve">immediately release pending containment of the virus.  </w:t>
      </w:r>
    </w:p>
    <w:p w14:paraId="6B5CD3FC" w14:textId="5DA9C068" w:rsidR="0038763B" w:rsidRPr="0038763B" w:rsidRDefault="0038763B" w:rsidP="0038763B">
      <w:pPr>
        <w:pStyle w:val="ListParagraph"/>
        <w:numPr>
          <w:ilvl w:val="0"/>
          <w:numId w:val="8"/>
        </w:numPr>
        <w:spacing w:line="480" w:lineRule="auto"/>
        <w:rPr>
          <w:rFonts w:ascii="Times" w:hAnsi="Times"/>
          <w:b/>
          <w:bCs/>
          <w:sz w:val="24"/>
          <w:szCs w:val="24"/>
        </w:rPr>
      </w:pPr>
      <w:r w:rsidRPr="0038763B">
        <w:rPr>
          <w:rFonts w:ascii="Times" w:hAnsi="Times"/>
          <w:b/>
          <w:bCs/>
          <w:sz w:val="24"/>
          <w:szCs w:val="24"/>
        </w:rPr>
        <w:t xml:space="preserve">The Sixth Amendment Demands </w:t>
      </w:r>
      <w:r w:rsidRPr="0038763B">
        <w:rPr>
          <w:b/>
          <w:bCs/>
          <w:highlight w:val="yellow"/>
        </w:rPr>
        <w:t>[</w:t>
      </w:r>
      <w:r w:rsidRPr="0038763B">
        <w:rPr>
          <w:b/>
          <w:bCs/>
          <w:highlight w:val="yellow"/>
          <w:lang w:val="en-CA"/>
        </w:rPr>
        <w:t>CLIENT’s]</w:t>
      </w:r>
      <w:r w:rsidRPr="0038763B">
        <w:rPr>
          <w:b/>
          <w:bCs/>
          <w:lang w:val="en-CA"/>
        </w:rPr>
        <w:t xml:space="preserve"> Release.</w:t>
      </w:r>
    </w:p>
    <w:p w14:paraId="6DE1597B" w14:textId="77777777" w:rsidR="0038763B" w:rsidRDefault="0038763B" w:rsidP="0038763B">
      <w:pPr>
        <w:spacing w:line="480" w:lineRule="auto"/>
        <w:ind w:firstLine="720"/>
        <w:rPr>
          <w:rFonts w:eastAsiaTheme="minorEastAsia"/>
        </w:rPr>
      </w:pPr>
      <w:r w:rsidRPr="0038763B">
        <w:rPr>
          <w:rFonts w:eastAsiaTheme="minorEastAsia"/>
        </w:rPr>
        <w:t xml:space="preserve">The conditions of confinement at </w:t>
      </w:r>
      <w:r>
        <w:rPr>
          <w:rFonts w:ascii="Times" w:hAnsi="Times"/>
        </w:rPr>
        <w:t xml:space="preserve">the </w:t>
      </w:r>
      <w:r w:rsidRPr="006C2134">
        <w:rPr>
          <w:rFonts w:ascii="Times" w:hAnsi="Times"/>
          <w:highlight w:val="yellow"/>
        </w:rPr>
        <w:t>[DETENTION FACILITY]</w:t>
      </w:r>
      <w:r>
        <w:rPr>
          <w:rFonts w:ascii="Times" w:hAnsi="Times"/>
        </w:rPr>
        <w:t xml:space="preserve"> </w:t>
      </w:r>
      <w:r w:rsidRPr="0038763B">
        <w:rPr>
          <w:rFonts w:eastAsiaTheme="minorEastAsia"/>
        </w:rPr>
        <w:t xml:space="preserve">have gutted </w:t>
      </w:r>
      <w:r w:rsidRPr="006C2134">
        <w:rPr>
          <w:rFonts w:ascii="Times" w:hAnsi="Times"/>
          <w:highlight w:val="yellow"/>
        </w:rPr>
        <w:t>[CLIENT</w:t>
      </w:r>
      <w:r>
        <w:rPr>
          <w:rFonts w:ascii="Times" w:hAnsi="Times"/>
          <w:highlight w:val="yellow"/>
        </w:rPr>
        <w:t>’s</w:t>
      </w:r>
      <w:r w:rsidRPr="006C2134">
        <w:rPr>
          <w:rFonts w:ascii="Times" w:hAnsi="Times"/>
          <w:highlight w:val="yellow"/>
        </w:rPr>
        <w:t>]</w:t>
      </w:r>
      <w:r w:rsidRPr="0038763B">
        <w:rPr>
          <w:rFonts w:eastAsiaTheme="minorEastAsia"/>
        </w:rPr>
        <w:t xml:space="preserve"> Sixth Amendment right to the effective assistance of counsel. Until </w:t>
      </w:r>
      <w:r w:rsidRPr="006C2134">
        <w:rPr>
          <w:rFonts w:ascii="Times" w:hAnsi="Times"/>
          <w:highlight w:val="yellow"/>
        </w:rPr>
        <w:t>[CLIENT</w:t>
      </w:r>
      <w:r w:rsidRPr="0038763B">
        <w:rPr>
          <w:rFonts w:ascii="Times" w:hAnsi="Times"/>
          <w:highlight w:val="yellow"/>
        </w:rPr>
        <w:t>]</w:t>
      </w:r>
      <w:r>
        <w:rPr>
          <w:rFonts w:ascii="Times" w:hAnsi="Times"/>
        </w:rPr>
        <w:t xml:space="preserve"> </w:t>
      </w:r>
      <w:r w:rsidRPr="0038763B">
        <w:rPr>
          <w:rFonts w:eastAsiaTheme="minorEastAsia"/>
        </w:rPr>
        <w:t xml:space="preserve">is released, </w:t>
      </w:r>
      <w:r w:rsidRPr="00814C24">
        <w:rPr>
          <w:highlight w:val="yellow"/>
          <w:lang w:val="en-CA"/>
        </w:rPr>
        <w:t>[he/she/they]</w:t>
      </w:r>
      <w:r w:rsidRPr="00814C24">
        <w:rPr>
          <w:lang w:val="en-CA"/>
        </w:rPr>
        <w:t xml:space="preserve"> </w:t>
      </w:r>
      <w:r w:rsidRPr="0038763B">
        <w:rPr>
          <w:rFonts w:eastAsiaTheme="minorEastAsia"/>
        </w:rPr>
        <w:t xml:space="preserve">will continue to suffer violations of </w:t>
      </w:r>
      <w:r w:rsidRPr="00B74DC3">
        <w:rPr>
          <w:highlight w:val="yellow"/>
        </w:rPr>
        <w:t>[his/her/their]</w:t>
      </w:r>
      <w:r>
        <w:t xml:space="preserve"> </w:t>
      </w:r>
      <w:r w:rsidRPr="0038763B">
        <w:rPr>
          <w:rFonts w:eastAsiaTheme="minorEastAsia"/>
        </w:rPr>
        <w:t>constitutional rights.</w:t>
      </w:r>
    </w:p>
    <w:p w14:paraId="549BDB2E" w14:textId="77777777" w:rsidR="00151D3B" w:rsidRDefault="0038763B" w:rsidP="00151D3B">
      <w:pPr>
        <w:spacing w:line="480" w:lineRule="auto"/>
        <w:ind w:firstLine="720"/>
      </w:pPr>
      <w:r w:rsidRPr="002B1ACE">
        <w:t>The Six</w:t>
      </w:r>
      <w:r>
        <w:t>th Amendment right to counsel is</w:t>
      </w:r>
      <w:r w:rsidRPr="002B1ACE">
        <w:t xml:space="preserve"> </w:t>
      </w:r>
      <w:r>
        <w:t>the cornerstone of our adversarial system of criminal justice. As the Second Circuit recently found</w:t>
      </w:r>
      <w:r w:rsidR="00151D3B">
        <w:t xml:space="preserve"> in the throes of this pandemic, </w:t>
      </w:r>
      <w:r w:rsidRPr="00BB34B5">
        <w:t xml:space="preserve">“The right to consult with legal counsel about being released on bond, entering a plea, negotiating and accepting a plea </w:t>
      </w:r>
      <w:r w:rsidRPr="002B1ACE">
        <w:t xml:space="preserve">agreement, going to trial, testifying at trial, locating trial witnesses, and other decisions confronting the detained suspect, whose innocence is presumed, is a right inextricably linked to the legitimacy of our criminal justice system.” </w:t>
      </w:r>
      <w:r w:rsidRPr="002B1ACE">
        <w:rPr>
          <w:i/>
        </w:rPr>
        <w:t>Federal Defenders of New York, Inc. v. Bureau of Prisons</w:t>
      </w:r>
      <w:r w:rsidRPr="002B1ACE">
        <w:t>, No. 19-1778</w:t>
      </w:r>
      <w:r>
        <w:t>,</w:t>
      </w:r>
      <w:r w:rsidRPr="002B1ACE">
        <w:t xml:space="preserve"> </w:t>
      </w:r>
      <w:r w:rsidRPr="0038763B">
        <w:rPr>
          <w:color w:val="000000"/>
        </w:rPr>
        <w:t xml:space="preserve">2020 WL 1320886, at *11 </w:t>
      </w:r>
      <w:r w:rsidRPr="002B1ACE">
        <w:t xml:space="preserve">(2d. Cir. Mar. 20, 2020). In recognition of this vital right, </w:t>
      </w:r>
      <w:r>
        <w:t>BOP</w:t>
      </w:r>
      <w:r w:rsidRPr="002B1ACE">
        <w:t xml:space="preserve"> regulations instruct that detention center wardens “</w:t>
      </w:r>
      <w:r w:rsidRPr="002B1ACE">
        <w:rPr>
          <w:i/>
        </w:rPr>
        <w:t xml:space="preserve">shall provide </w:t>
      </w:r>
      <w:r w:rsidRPr="002B1ACE">
        <w:t>the opportunity for pretrial inmate-attorney visits on a seven-days-a-week basis.” 28 C.F.R. § 551.l 17(a) (emphasis added).</w:t>
      </w:r>
    </w:p>
    <w:p w14:paraId="50D97307" w14:textId="77777777" w:rsidR="00151D3B" w:rsidRDefault="0038763B" w:rsidP="00151D3B">
      <w:pPr>
        <w:spacing w:line="480" w:lineRule="auto"/>
        <w:ind w:firstLine="720"/>
      </w:pPr>
      <w:r>
        <w:t>A detention facility therefore</w:t>
      </w:r>
      <w:r w:rsidRPr="0009540D">
        <w:t xml:space="preserve"> vi</w:t>
      </w:r>
      <w:r>
        <w:t>olates the Sixth Amendment when</w:t>
      </w:r>
      <w:r w:rsidRPr="0009540D">
        <w:t xml:space="preserve"> it “</w:t>
      </w:r>
      <w:proofErr w:type="spellStart"/>
      <w:r w:rsidRPr="0009540D">
        <w:t>unreasonabl</w:t>
      </w:r>
      <w:proofErr w:type="spellEnd"/>
      <w:r w:rsidRPr="0009540D">
        <w:t>[y] inter</w:t>
      </w:r>
      <w:r>
        <w:t>fere[s] with the accused person’</w:t>
      </w:r>
      <w:r w:rsidRPr="0009540D">
        <w:t xml:space="preserve">s ability to consult counsel.” </w:t>
      </w:r>
      <w:r w:rsidRPr="0009540D">
        <w:rPr>
          <w:i/>
        </w:rPr>
        <w:t>Benjamin v. Fraser</w:t>
      </w:r>
      <w:r w:rsidRPr="0009540D">
        <w:t>,</w:t>
      </w:r>
      <w:r w:rsidRPr="0009540D">
        <w:rPr>
          <w:i/>
        </w:rPr>
        <w:t xml:space="preserve"> </w:t>
      </w:r>
      <w:r w:rsidRPr="0009540D">
        <w:t>264 F.3d 175, 185 (2d Cir. 2001). Unreasonable interference requires a showing far less alarming than the one present here.</w:t>
      </w:r>
      <w:r>
        <w:t xml:space="preserve"> </w:t>
      </w:r>
      <w:r w:rsidRPr="0009540D">
        <w:t xml:space="preserve">In </w:t>
      </w:r>
      <w:r w:rsidRPr="0009540D">
        <w:rPr>
          <w:i/>
        </w:rPr>
        <w:t xml:space="preserve">Benjamin, </w:t>
      </w:r>
      <w:r w:rsidRPr="0009540D">
        <w:t>the Second Circuit held that New York City correctional facilities vio</w:t>
      </w:r>
      <w:r>
        <w:t>lated the right to counsel when</w:t>
      </w:r>
      <w:r w:rsidRPr="0009540D">
        <w:t xml:space="preserve"> defense attorneys “routinely face[d] unpredictable, substantial delays in meeting with clients” and were “forced to wait between 45 minutes and two hours, or </w:t>
      </w:r>
      <w:r w:rsidRPr="0009540D">
        <w:lastRenderedPageBreak/>
        <w:t xml:space="preserve">even substantially longer, after arriving at a facility to see a client.” 264 F.3d at 179. </w:t>
      </w:r>
      <w:r>
        <w:t xml:space="preserve">These circumstances, where the Second Circuit refused to dissolve a consent decree providing judicial supervision of legal visitation in City correctional facilities, are far less jarring than </w:t>
      </w:r>
      <w:r w:rsidR="00151D3B" w:rsidRPr="00151D3B">
        <w:rPr>
          <w:highlight w:val="yellow"/>
        </w:rPr>
        <w:t>[CLIENT]</w:t>
      </w:r>
      <w:r w:rsidR="00151D3B">
        <w:t xml:space="preserve"> </w:t>
      </w:r>
      <w:r>
        <w:t>has been forced to endure.</w:t>
      </w:r>
    </w:p>
    <w:p w14:paraId="69A784AC" w14:textId="02C13896" w:rsidR="00151D3B" w:rsidRDefault="00151D3B" w:rsidP="00151D3B">
      <w:pPr>
        <w:spacing w:line="480" w:lineRule="auto"/>
        <w:ind w:firstLine="720"/>
      </w:pPr>
      <w:r w:rsidRPr="00151D3B">
        <w:rPr>
          <w:highlight w:val="yellow"/>
        </w:rPr>
        <w:t>[CLIENT]</w:t>
      </w:r>
      <w:r>
        <w:t xml:space="preserve"> </w:t>
      </w:r>
      <w:r w:rsidR="0038763B">
        <w:t>has borne a complete disruption of his right to counsel</w:t>
      </w:r>
      <w:r>
        <w:t xml:space="preserve"> since </w:t>
      </w:r>
      <w:r w:rsidRPr="00151D3B">
        <w:rPr>
          <w:highlight w:val="yellow"/>
        </w:rPr>
        <w:t>[date]</w:t>
      </w:r>
      <w:r w:rsidR="0038763B">
        <w:t xml:space="preserve">. On </w:t>
      </w:r>
      <w:r w:rsidRPr="00151D3B">
        <w:rPr>
          <w:highlight w:val="yellow"/>
        </w:rPr>
        <w:t>[date]</w:t>
      </w:r>
      <w:r w:rsidR="0038763B">
        <w:t xml:space="preserve">, 2020, </w:t>
      </w:r>
      <w:r>
        <w:rPr>
          <w:rFonts w:ascii="Times" w:hAnsi="Times"/>
        </w:rPr>
        <w:t xml:space="preserve">the </w:t>
      </w:r>
      <w:r w:rsidRPr="006C2134">
        <w:rPr>
          <w:rFonts w:ascii="Times" w:hAnsi="Times"/>
          <w:highlight w:val="yellow"/>
        </w:rPr>
        <w:t>[DETENTION FACILITY]</w:t>
      </w:r>
      <w:r>
        <w:rPr>
          <w:rFonts w:ascii="Times" w:hAnsi="Times"/>
        </w:rPr>
        <w:t xml:space="preserve"> </w:t>
      </w:r>
      <w:r w:rsidR="0038763B" w:rsidRPr="0009540D">
        <w:t>entirely shut its doors to legal and social visitation</w:t>
      </w:r>
      <w:r>
        <w:t>, and</w:t>
      </w:r>
      <w:r w:rsidR="0038763B">
        <w:t xml:space="preserve"> </w:t>
      </w:r>
      <w:r>
        <w:t xml:space="preserve">there is no reason to believe that a request for an in-person attorney visit will be granted in the foreseeable future. </w:t>
      </w:r>
      <w:r w:rsidR="0038763B">
        <w:t>During th</w:t>
      </w:r>
      <w:r>
        <w:t>is</w:t>
      </w:r>
      <w:r w:rsidR="0038763B">
        <w:t xml:space="preserve"> time, </w:t>
      </w:r>
      <w:r w:rsidRPr="00151D3B">
        <w:rPr>
          <w:highlight w:val="yellow"/>
        </w:rPr>
        <w:t>[CLIENT]</w:t>
      </w:r>
      <w:r>
        <w:t xml:space="preserve"> has been</w:t>
      </w:r>
      <w:r w:rsidR="0038763B">
        <w:t xml:space="preserve"> denied phone calls to his attorney and lacked computer access.</w:t>
      </w:r>
      <w:r>
        <w:t xml:space="preserve"> </w:t>
      </w:r>
      <w:r w:rsidRPr="00151D3B">
        <w:rPr>
          <w:highlight w:val="yellow"/>
        </w:rPr>
        <w:t xml:space="preserve">[Add relevant </w:t>
      </w:r>
      <w:r>
        <w:rPr>
          <w:highlight w:val="yellow"/>
        </w:rPr>
        <w:t>facts</w:t>
      </w:r>
      <w:r w:rsidRPr="00151D3B">
        <w:rPr>
          <w:highlight w:val="yellow"/>
        </w:rPr>
        <w:t xml:space="preserve"> re: FACILITY and CLIENT’s access to counsel</w:t>
      </w:r>
      <w:r>
        <w:rPr>
          <w:highlight w:val="yellow"/>
        </w:rPr>
        <w:t>, attempts to contact client, client attempts to contact counsel, etc</w:t>
      </w:r>
      <w:r w:rsidRPr="00151D3B">
        <w:rPr>
          <w:highlight w:val="yellow"/>
        </w:rPr>
        <w:t>.]</w:t>
      </w:r>
      <w:r w:rsidR="0038763B">
        <w:t xml:space="preserve"> This is inconsistent with the constitutional right to counsel. In</w:t>
      </w:r>
      <w:r w:rsidR="0038763B">
        <w:rPr>
          <w:i/>
        </w:rPr>
        <w:t xml:space="preserve"> </w:t>
      </w:r>
      <w:r w:rsidR="0038763B" w:rsidRPr="0009540D">
        <w:rPr>
          <w:i/>
        </w:rPr>
        <w:t>Wolfish v. Levi</w:t>
      </w:r>
      <w:r w:rsidR="0038763B" w:rsidRPr="0009540D">
        <w:t>,</w:t>
      </w:r>
      <w:r w:rsidR="0038763B">
        <w:t xml:space="preserve"> the Second Circuit held that the MCC “severely constrained” a</w:t>
      </w:r>
      <w:r w:rsidR="000C527D">
        <w:t xml:space="preserve"> jailed person’s</w:t>
      </w:r>
      <w:r w:rsidR="0038763B">
        <w:t xml:space="preserve"> “access to legal counsel” </w:t>
      </w:r>
      <w:r w:rsidR="0038763B" w:rsidRPr="0009540D">
        <w:t>where dedicated attorney visiting hours were limited to two</w:t>
      </w:r>
      <w:r w:rsidR="0038763B">
        <w:t xml:space="preserve"> hours a day, and most attorney</w:t>
      </w:r>
      <w:r w:rsidR="0038763B" w:rsidRPr="0009540D">
        <w:t xml:space="preserve"> visits were “made in the general visiting rooms during visiting hours thereby entailing long delays, limiting the attorney’s time with his client, and to</w:t>
      </w:r>
      <w:r w:rsidR="0038763B">
        <w:t xml:space="preserve">tally vitiating confidentiality.” </w:t>
      </w:r>
      <w:r w:rsidR="0038763B" w:rsidRPr="0009540D">
        <w:t>573 F.2d 118, 133 (2d Cir. 1978)</w:t>
      </w:r>
      <w:r w:rsidR="0038763B">
        <w:t xml:space="preserve"> (holding the),</w:t>
      </w:r>
      <w:r w:rsidR="0038763B" w:rsidRPr="0009540D">
        <w:t xml:space="preserve"> </w:t>
      </w:r>
      <w:proofErr w:type="spellStart"/>
      <w:r w:rsidR="0038763B" w:rsidRPr="0009540D">
        <w:rPr>
          <w:i/>
        </w:rPr>
        <w:t>rev’d</w:t>
      </w:r>
      <w:proofErr w:type="spellEnd"/>
      <w:r w:rsidR="0038763B" w:rsidRPr="0009540D">
        <w:rPr>
          <w:i/>
        </w:rPr>
        <w:t xml:space="preserve"> on other grounds, </w:t>
      </w:r>
      <w:r w:rsidR="0038763B">
        <w:t>441 U.S. 520 (1979).</w:t>
      </w:r>
    </w:p>
    <w:p w14:paraId="4DE4B0BB" w14:textId="77777777" w:rsidR="001D097A" w:rsidRDefault="0038763B" w:rsidP="001D097A">
      <w:pPr>
        <w:spacing w:line="480" w:lineRule="auto"/>
        <w:ind w:firstLine="720"/>
      </w:pPr>
      <w:r>
        <w:t xml:space="preserve">In addition to being unable to meet with counsel in person, </w:t>
      </w:r>
      <w:r w:rsidR="00151D3B" w:rsidRPr="00151D3B">
        <w:rPr>
          <w:highlight w:val="yellow"/>
        </w:rPr>
        <w:t>[CLIENT]</w:t>
      </w:r>
      <w:r w:rsidR="00151D3B">
        <w:t xml:space="preserve"> </w:t>
      </w:r>
      <w:r>
        <w:t xml:space="preserve">has suffered a complete inability to review critical discovery in preparation for trial. </w:t>
      </w:r>
      <w:r w:rsidR="001D097A">
        <w:t>T</w:t>
      </w:r>
      <w:r>
        <w:t xml:space="preserve">he conditions at </w:t>
      </w:r>
      <w:r w:rsidR="001D097A" w:rsidRPr="006C2134">
        <w:rPr>
          <w:rFonts w:ascii="Times" w:hAnsi="Times"/>
          <w:highlight w:val="yellow"/>
        </w:rPr>
        <w:t>[DETENTION FACILITY]</w:t>
      </w:r>
      <w:r w:rsidR="001D097A">
        <w:rPr>
          <w:rFonts w:ascii="Times" w:hAnsi="Times"/>
        </w:rPr>
        <w:t xml:space="preserve"> </w:t>
      </w:r>
      <w:r>
        <w:t xml:space="preserve">prevent </w:t>
      </w:r>
      <w:r w:rsidR="001D097A" w:rsidRPr="00151D3B">
        <w:rPr>
          <w:highlight w:val="yellow"/>
        </w:rPr>
        <w:t>[CLIENT]</w:t>
      </w:r>
      <w:r w:rsidR="001D097A">
        <w:t xml:space="preserve"> </w:t>
      </w:r>
      <w:r>
        <w:t xml:space="preserve">from evaluating </w:t>
      </w:r>
      <w:r w:rsidR="001D097A">
        <w:t xml:space="preserve">discovery </w:t>
      </w:r>
      <w:r>
        <w:t>materials.</w:t>
      </w:r>
      <w:r w:rsidR="001D097A">
        <w:t xml:space="preserve"> Critically,</w:t>
      </w:r>
      <w:r w:rsidR="001D097A" w:rsidRPr="001D097A">
        <w:rPr>
          <w:highlight w:val="yellow"/>
        </w:rPr>
        <w:t xml:space="preserve"> </w:t>
      </w:r>
      <w:r w:rsidR="001D097A" w:rsidRPr="00151D3B">
        <w:rPr>
          <w:highlight w:val="yellow"/>
        </w:rPr>
        <w:t>[CLIENT]</w:t>
      </w:r>
      <w:r w:rsidR="001D097A">
        <w:t xml:space="preserve"> does not have access to a computer to review discovery.</w:t>
      </w:r>
      <w:r>
        <w:t xml:space="preserve"> </w:t>
      </w:r>
      <w:r w:rsidR="001D097A" w:rsidRPr="001D097A">
        <w:rPr>
          <w:highlight w:val="yellow"/>
        </w:rPr>
        <w:t>[Add facility- and case-specific details.]</w:t>
      </w:r>
      <w:r w:rsidR="001D097A">
        <w:t xml:space="preserve"> </w:t>
      </w:r>
      <w:r w:rsidR="001D097A" w:rsidRPr="00151D3B">
        <w:rPr>
          <w:highlight w:val="yellow"/>
        </w:rPr>
        <w:t>[CLIENT]</w:t>
      </w:r>
      <w:r w:rsidR="001D097A">
        <w:t xml:space="preserve"> </w:t>
      </w:r>
      <w:r>
        <w:t xml:space="preserve">has spoken </w:t>
      </w:r>
      <w:r w:rsidRPr="00F80C8E">
        <w:t xml:space="preserve">with his unit counselor about his legal needs, but has received no assurances of when he will regain access to a computer outfitted to review discovery. </w:t>
      </w:r>
      <w:r w:rsidRPr="00F80C8E">
        <w:lastRenderedPageBreak/>
        <w:t>And because his counsel visits have been suspended, he cannot use the computers in the legal visiting room to review his discovery.</w:t>
      </w:r>
    </w:p>
    <w:p w14:paraId="71D1C614" w14:textId="77777777" w:rsidR="001D097A" w:rsidRDefault="0038763B" w:rsidP="001D097A">
      <w:pPr>
        <w:spacing w:line="480" w:lineRule="auto"/>
        <w:ind w:firstLine="720"/>
      </w:pPr>
      <w:r w:rsidRPr="00F80C8E">
        <w:t>Further, in the likely event that someone at</w:t>
      </w:r>
      <w:r w:rsidR="001D097A">
        <w:t xml:space="preserve"> the</w:t>
      </w:r>
      <w:r w:rsidRPr="00F80C8E">
        <w:t xml:space="preserve"> </w:t>
      </w:r>
      <w:r w:rsidR="001D097A" w:rsidRPr="006C2134">
        <w:rPr>
          <w:rFonts w:ascii="Times" w:hAnsi="Times"/>
          <w:highlight w:val="yellow"/>
        </w:rPr>
        <w:t>[DETENTION FACILITY]</w:t>
      </w:r>
      <w:r w:rsidR="001D097A">
        <w:rPr>
          <w:rFonts w:ascii="Times" w:hAnsi="Times"/>
        </w:rPr>
        <w:t xml:space="preserve"> </w:t>
      </w:r>
      <w:r w:rsidRPr="00F80C8E">
        <w:t xml:space="preserve">tests positive for </w:t>
      </w:r>
      <w:r w:rsidR="001D097A">
        <w:t>COVID-19</w:t>
      </w:r>
      <w:r w:rsidRPr="00F80C8E">
        <w:t>, the entire facility will go on a total lockdown</w:t>
      </w:r>
      <w:r w:rsidR="001D097A">
        <w:t xml:space="preserve"> </w:t>
      </w:r>
      <w:r w:rsidR="001D097A" w:rsidRPr="001D097A">
        <w:rPr>
          <w:highlight w:val="yellow"/>
        </w:rPr>
        <w:t>[if it has not done so already]</w:t>
      </w:r>
      <w:r>
        <w:t xml:space="preserve">, further inhibiting </w:t>
      </w:r>
      <w:r w:rsidR="001D097A" w:rsidRPr="00151D3B">
        <w:rPr>
          <w:highlight w:val="yellow"/>
        </w:rPr>
        <w:t>[CLIENT</w:t>
      </w:r>
      <w:r w:rsidR="001D097A">
        <w:rPr>
          <w:highlight w:val="yellow"/>
        </w:rPr>
        <w:t>’s</w:t>
      </w:r>
      <w:r w:rsidR="001D097A" w:rsidRPr="00151D3B">
        <w:rPr>
          <w:highlight w:val="yellow"/>
        </w:rPr>
        <w:t>]</w:t>
      </w:r>
      <w:r w:rsidR="001D097A">
        <w:t xml:space="preserve"> </w:t>
      </w:r>
      <w:r>
        <w:t>constitutional rights</w:t>
      </w:r>
      <w:r w:rsidRPr="00F80C8E">
        <w:t>. That event will mark the complete evisceration of Mr. Chandler’s right to counsel.</w:t>
      </w:r>
    </w:p>
    <w:p w14:paraId="2FCCE593" w14:textId="5970E33F" w:rsidR="0038763B" w:rsidRPr="00113AA1" w:rsidRDefault="0038763B" w:rsidP="00113AA1">
      <w:pPr>
        <w:spacing w:line="480" w:lineRule="auto"/>
        <w:ind w:firstLine="720"/>
        <w:rPr>
          <w:lang w:val="en-CA"/>
        </w:rPr>
      </w:pPr>
      <w:r>
        <w:rPr>
          <w:lang w:val="en-CA"/>
        </w:rPr>
        <w:t xml:space="preserve">As the public health crisis rapidly evolves, so too does the judiciary’s perspective on release. </w:t>
      </w:r>
      <w:r w:rsidR="00113AA1">
        <w:rPr>
          <w:lang w:val="en-CA"/>
        </w:rPr>
        <w:t xml:space="preserve">Judges have been reassessing their rulings in light of new facts. </w:t>
      </w:r>
      <w:r w:rsidR="00113AA1">
        <w:rPr>
          <w:i/>
          <w:iCs/>
          <w:lang w:val="en-CA"/>
        </w:rPr>
        <w:t xml:space="preserve">See, e.g., </w:t>
      </w:r>
      <w:r>
        <w:rPr>
          <w:i/>
          <w:lang w:val="en-CA"/>
        </w:rPr>
        <w:t>United States v. Hudson</w:t>
      </w:r>
      <w:r>
        <w:rPr>
          <w:lang w:val="en-CA"/>
        </w:rPr>
        <w:t>, 19-CR-496 (CM) (Mar. 13, 2020)</w:t>
      </w:r>
      <w:r w:rsidR="00B52DF4">
        <w:rPr>
          <w:lang w:val="en-CA"/>
        </w:rPr>
        <w:t xml:space="preserve"> (granting an application for bail based on compelling reasons related to the current health crisis, f</w:t>
      </w:r>
      <w:r>
        <w:rPr>
          <w:lang w:val="en-CA"/>
        </w:rPr>
        <w:t xml:space="preserve">ive days </w:t>
      </w:r>
      <w:r w:rsidR="00B52DF4">
        <w:rPr>
          <w:lang w:val="en-CA"/>
        </w:rPr>
        <w:t>after</w:t>
      </w:r>
      <w:r>
        <w:rPr>
          <w:lang w:val="en-CA"/>
        </w:rPr>
        <w:t xml:space="preserve"> den</w:t>
      </w:r>
      <w:r w:rsidR="00B52DF4">
        <w:rPr>
          <w:lang w:val="en-CA"/>
        </w:rPr>
        <w:t>ying</w:t>
      </w:r>
      <w:r>
        <w:rPr>
          <w:lang w:val="en-CA"/>
        </w:rPr>
        <w:t xml:space="preserve"> </w:t>
      </w:r>
      <w:r w:rsidR="00B52DF4">
        <w:rPr>
          <w:lang w:val="en-CA"/>
        </w:rPr>
        <w:t>a similar</w:t>
      </w:r>
      <w:r>
        <w:rPr>
          <w:lang w:val="en-CA"/>
        </w:rPr>
        <w:t xml:space="preserve"> request</w:t>
      </w:r>
      <w:r w:rsidR="00B52DF4">
        <w:rPr>
          <w:lang w:val="en-CA"/>
        </w:rPr>
        <w:t>)</w:t>
      </w:r>
      <w:r w:rsidR="00113AA1">
        <w:rPr>
          <w:lang w:val="en-CA"/>
        </w:rPr>
        <w:t xml:space="preserve">; </w:t>
      </w:r>
      <w:r w:rsidR="00113AA1">
        <w:rPr>
          <w:i/>
          <w:iCs/>
          <w:lang w:val="en-CA"/>
        </w:rPr>
        <w:t>Chandler</w:t>
      </w:r>
      <w:r w:rsidR="00113AA1" w:rsidRPr="004243C0">
        <w:rPr>
          <w:color w:val="000000"/>
        </w:rPr>
        <w:t>, 2020 WL 1528120, at *</w:t>
      </w:r>
      <w:r w:rsidR="00113AA1">
        <w:rPr>
          <w:color w:val="000000"/>
        </w:rPr>
        <w:t>1-</w:t>
      </w:r>
      <w:r w:rsidR="00113AA1" w:rsidRPr="004243C0">
        <w:rPr>
          <w:color w:val="000000"/>
        </w:rPr>
        <w:t>2 (S.D.N.Y. Mar. 31, 2020)</w:t>
      </w:r>
      <w:r w:rsidR="00113AA1">
        <w:rPr>
          <w:color w:val="000000"/>
        </w:rPr>
        <w:t xml:space="preserve"> (granting an application for bail based on Sixth Amendment concerns in light of the COVID-19 crisis after denying at least two previous applications). </w:t>
      </w:r>
      <w:r w:rsidR="00113AA1">
        <w:rPr>
          <w:lang w:val="en-CA"/>
        </w:rPr>
        <w:t xml:space="preserve">Here, the complete </w:t>
      </w:r>
      <w:r w:rsidR="00B52DF4">
        <w:rPr>
          <w:lang w:val="en-CA"/>
        </w:rPr>
        <w:t xml:space="preserve">cessation of </w:t>
      </w:r>
      <w:r w:rsidR="00113AA1">
        <w:rPr>
          <w:lang w:val="en-CA"/>
        </w:rPr>
        <w:t xml:space="preserve">legal </w:t>
      </w:r>
      <w:r w:rsidR="00B52DF4">
        <w:rPr>
          <w:lang w:val="en-CA"/>
        </w:rPr>
        <w:t>visits</w:t>
      </w:r>
      <w:r w:rsidR="00113AA1">
        <w:rPr>
          <w:lang w:val="en-CA"/>
        </w:rPr>
        <w:t xml:space="preserve">, combined with </w:t>
      </w:r>
      <w:r w:rsidR="00113AA1" w:rsidRPr="00151D3B">
        <w:rPr>
          <w:highlight w:val="yellow"/>
        </w:rPr>
        <w:t>[CLIEN</w:t>
      </w:r>
      <w:r w:rsidR="00113AA1" w:rsidRPr="001D097A">
        <w:rPr>
          <w:highlight w:val="yellow"/>
        </w:rPr>
        <w:t>T</w:t>
      </w:r>
      <w:r w:rsidR="00113AA1">
        <w:rPr>
          <w:highlight w:val="yellow"/>
        </w:rPr>
        <w:t>’s</w:t>
      </w:r>
      <w:r w:rsidR="00113AA1" w:rsidRPr="001D097A">
        <w:rPr>
          <w:highlight w:val="yellow"/>
        </w:rPr>
        <w:t>]</w:t>
      </w:r>
      <w:r w:rsidR="00113AA1">
        <w:t xml:space="preserve"> inability to adequately review discovery, </w:t>
      </w:r>
      <w:r w:rsidR="00B52DF4">
        <w:rPr>
          <w:lang w:val="en-CA"/>
        </w:rPr>
        <w:t>make</w:t>
      </w:r>
      <w:r w:rsidR="00113AA1">
        <w:rPr>
          <w:lang w:val="en-CA"/>
        </w:rPr>
        <w:t>s</w:t>
      </w:r>
      <w:r w:rsidR="00B52DF4">
        <w:rPr>
          <w:lang w:val="en-CA"/>
        </w:rPr>
        <w:t xml:space="preserve"> it impossible to adequately prepare for tria</w:t>
      </w:r>
      <w:r w:rsidR="00113AA1">
        <w:rPr>
          <w:lang w:val="en-CA"/>
        </w:rPr>
        <w:t>l in violation of the Sixth Amendment.</w:t>
      </w:r>
    </w:p>
    <w:p w14:paraId="46A9B2D5" w14:textId="14907705" w:rsidR="0038763B" w:rsidRPr="00A751CC" w:rsidRDefault="001D097A" w:rsidP="001D097A">
      <w:pPr>
        <w:spacing w:line="480" w:lineRule="auto"/>
        <w:ind w:firstLine="720"/>
        <w:rPr>
          <w:rFonts w:ascii="Times" w:hAnsi="Times"/>
        </w:rPr>
      </w:pPr>
      <w:r w:rsidRPr="00151D3B">
        <w:rPr>
          <w:highlight w:val="yellow"/>
        </w:rPr>
        <w:t>[CLIEN</w:t>
      </w:r>
      <w:r w:rsidRPr="001D097A">
        <w:rPr>
          <w:highlight w:val="yellow"/>
        </w:rPr>
        <w:t>T]</w:t>
      </w:r>
      <w:r>
        <w:t xml:space="preserve"> </w:t>
      </w:r>
      <w:r w:rsidR="0038763B">
        <w:t>remains innocent until proven guilty. T</w:t>
      </w:r>
      <w:r w:rsidR="0038763B" w:rsidRPr="00024F3F">
        <w:t>o mount an effective defense</w:t>
      </w:r>
      <w:r w:rsidR="0038763B">
        <w:t xml:space="preserve"> at trial</w:t>
      </w:r>
      <w:r w:rsidR="0038763B" w:rsidRPr="00024F3F">
        <w:t xml:space="preserve">, </w:t>
      </w:r>
      <w:r w:rsidR="00113AA1" w:rsidRPr="00151D3B">
        <w:rPr>
          <w:highlight w:val="yellow"/>
        </w:rPr>
        <w:t>[CLIEN</w:t>
      </w:r>
      <w:r w:rsidR="00113AA1" w:rsidRPr="001D097A">
        <w:rPr>
          <w:highlight w:val="yellow"/>
        </w:rPr>
        <w:t>T]</w:t>
      </w:r>
      <w:r w:rsidR="00113AA1">
        <w:t xml:space="preserve"> </w:t>
      </w:r>
      <w:r w:rsidR="0038763B" w:rsidRPr="00024F3F">
        <w:t xml:space="preserve">must be released from custody. </w:t>
      </w:r>
      <w:r w:rsidR="0038763B">
        <w:t xml:space="preserve">This extraordinary moment requires judicial intervention to safeguard </w:t>
      </w:r>
      <w:r w:rsidR="00113AA1" w:rsidRPr="00151D3B">
        <w:rPr>
          <w:highlight w:val="yellow"/>
        </w:rPr>
        <w:t>[CLIEN</w:t>
      </w:r>
      <w:r w:rsidR="00113AA1" w:rsidRPr="001D097A">
        <w:rPr>
          <w:highlight w:val="yellow"/>
        </w:rPr>
        <w:t>T</w:t>
      </w:r>
      <w:r w:rsidR="00113AA1">
        <w:rPr>
          <w:highlight w:val="yellow"/>
        </w:rPr>
        <w:t>’s</w:t>
      </w:r>
      <w:r w:rsidR="00113AA1" w:rsidRPr="001D097A">
        <w:rPr>
          <w:highlight w:val="yellow"/>
        </w:rPr>
        <w:t>]</w:t>
      </w:r>
      <w:r w:rsidR="00113AA1">
        <w:t xml:space="preserve"> </w:t>
      </w:r>
      <w:r w:rsidR="0038763B">
        <w:t>constitutional rights.</w:t>
      </w:r>
    </w:p>
    <w:p w14:paraId="0C76C26C" w14:textId="3365CC97" w:rsidR="00895BFB" w:rsidRPr="00814C24" w:rsidRDefault="0097796C" w:rsidP="0097796C">
      <w:pPr>
        <w:pStyle w:val="NoSpacing"/>
        <w:spacing w:line="480" w:lineRule="auto"/>
        <w:jc w:val="center"/>
        <w:rPr>
          <w:b/>
          <w:bCs/>
          <w:sz w:val="24"/>
          <w:szCs w:val="24"/>
          <w:u w:val="single"/>
          <w:lang w:val="en-CA"/>
        </w:rPr>
      </w:pPr>
      <w:r w:rsidRPr="00814C24">
        <w:rPr>
          <w:sz w:val="24"/>
          <w:szCs w:val="24"/>
          <w:lang w:val="en-CA"/>
        </w:rPr>
        <w:t xml:space="preserve"> </w:t>
      </w:r>
      <w:r w:rsidR="00895BFB" w:rsidRPr="00814C24">
        <w:rPr>
          <w:b/>
          <w:bCs/>
          <w:sz w:val="24"/>
          <w:szCs w:val="24"/>
          <w:u w:val="single"/>
          <w:lang w:val="en-CA"/>
        </w:rPr>
        <w:t xml:space="preserve">Continued Detention of </w:t>
      </w:r>
      <w:r w:rsidR="00895BFB" w:rsidRPr="00814C24">
        <w:rPr>
          <w:b/>
          <w:bCs/>
          <w:sz w:val="24"/>
          <w:szCs w:val="24"/>
          <w:highlight w:val="yellow"/>
          <w:u w:val="single"/>
          <w:lang w:val="en-CA"/>
        </w:rPr>
        <w:t>[CLIENT]</w:t>
      </w:r>
      <w:r w:rsidR="00283471" w:rsidRPr="00814C24">
        <w:rPr>
          <w:b/>
          <w:bCs/>
          <w:sz w:val="24"/>
          <w:szCs w:val="24"/>
          <w:u w:val="single"/>
          <w:lang w:val="en-CA"/>
        </w:rPr>
        <w:t xml:space="preserve"> is a Human Rights</w:t>
      </w:r>
      <w:r w:rsidR="00895BFB" w:rsidRPr="00814C24">
        <w:rPr>
          <w:b/>
          <w:bCs/>
          <w:sz w:val="24"/>
          <w:szCs w:val="24"/>
          <w:u w:val="single"/>
          <w:lang w:val="en-CA"/>
        </w:rPr>
        <w:t xml:space="preserve"> </w:t>
      </w:r>
      <w:r w:rsidR="00283471" w:rsidRPr="00814C24">
        <w:rPr>
          <w:b/>
          <w:bCs/>
          <w:sz w:val="24"/>
          <w:szCs w:val="24"/>
          <w:u w:val="single"/>
          <w:lang w:val="en-CA"/>
        </w:rPr>
        <w:t>Violation</w:t>
      </w:r>
    </w:p>
    <w:p w14:paraId="3E2F5142" w14:textId="1DBA81D6" w:rsidR="004F6AD4" w:rsidRPr="00814C24" w:rsidRDefault="00283471" w:rsidP="004F6AD4">
      <w:pPr>
        <w:spacing w:line="480" w:lineRule="auto"/>
      </w:pPr>
      <w:r w:rsidRPr="00814C24">
        <w:rPr>
          <w:lang w:val="en-CA"/>
        </w:rPr>
        <w:tab/>
        <w:t xml:space="preserve"> </w:t>
      </w:r>
      <w:r w:rsidR="009335E4" w:rsidRPr="00814C24">
        <w:t>When the government deprives someone of their liberty, their health care becomes a state responsibility. They are entitled to the same standards of care that are available to the outside community.</w:t>
      </w:r>
      <w:r w:rsidR="009335E4" w:rsidRPr="00814C24">
        <w:rPr>
          <w:rStyle w:val="FootnoteReference"/>
        </w:rPr>
        <w:footnoteReference w:id="28"/>
      </w:r>
      <w:r w:rsidR="009335E4" w:rsidRPr="00814C24">
        <w:t xml:space="preserve"> </w:t>
      </w:r>
      <w:r w:rsidR="009335E4">
        <w:t>[</w:t>
      </w:r>
      <w:r w:rsidRPr="00814C24">
        <w:rPr>
          <w:highlight w:val="yellow"/>
          <w:lang w:val="en-CA"/>
        </w:rPr>
        <w:t>CLIENT’s]</w:t>
      </w:r>
      <w:r w:rsidRPr="00814C24">
        <w:rPr>
          <w:lang w:val="en-CA"/>
        </w:rPr>
        <w:t xml:space="preserve"> continued detention at the </w:t>
      </w:r>
      <w:r w:rsidRPr="00814C24">
        <w:rPr>
          <w:highlight w:val="yellow"/>
          <w:lang w:val="en-CA"/>
        </w:rPr>
        <w:t>[DETENTION FACILTY]</w:t>
      </w:r>
      <w:r w:rsidRPr="00814C24">
        <w:rPr>
          <w:lang w:val="en-CA"/>
        </w:rPr>
        <w:t xml:space="preserve"> is a </w:t>
      </w:r>
      <w:r w:rsidRPr="00814C24">
        <w:rPr>
          <w:lang w:val="en-CA"/>
        </w:rPr>
        <w:lastRenderedPageBreak/>
        <w:t xml:space="preserve">violation of </w:t>
      </w:r>
      <w:r w:rsidRPr="00814C24">
        <w:rPr>
          <w:highlight w:val="yellow"/>
          <w:lang w:val="en-CA"/>
        </w:rPr>
        <w:t>[his/her</w:t>
      </w:r>
      <w:r w:rsidR="00DC77E0" w:rsidRPr="00814C24">
        <w:rPr>
          <w:highlight w:val="yellow"/>
          <w:lang w:val="en-CA"/>
        </w:rPr>
        <w:t>/their</w:t>
      </w:r>
      <w:r w:rsidRPr="00814C24">
        <w:rPr>
          <w:highlight w:val="yellow"/>
          <w:lang w:val="en-CA"/>
        </w:rPr>
        <w:t>]</w:t>
      </w:r>
      <w:r w:rsidRPr="00814C24">
        <w:rPr>
          <w:lang w:val="en-CA"/>
        </w:rPr>
        <w:t xml:space="preserve"> basic human rights. Specifically, it violates </w:t>
      </w:r>
      <w:r w:rsidRPr="00814C24">
        <w:t xml:space="preserve">the prohibition on cruel, inhuman, and degrading treatment guaranteed by </w:t>
      </w:r>
      <w:r w:rsidR="00990C09" w:rsidRPr="00814C24">
        <w:t xml:space="preserve">both </w:t>
      </w:r>
      <w:r w:rsidR="004F6AD4" w:rsidRPr="00814C24">
        <w:t xml:space="preserve">the International Covenant on Civil and Political Rights (ICCPR) and the </w:t>
      </w:r>
      <w:r w:rsidRPr="00814C24">
        <w:t>Convention Against Torture (CAT).</w:t>
      </w:r>
      <w:r w:rsidR="00951AA3" w:rsidRPr="00814C24">
        <w:t xml:space="preserve"> </w:t>
      </w:r>
      <w:r w:rsidR="000019B2" w:rsidRPr="00814C24">
        <w:t xml:space="preserve">The continued of </w:t>
      </w:r>
      <w:r w:rsidR="000019B2" w:rsidRPr="00814C24">
        <w:rPr>
          <w:highlight w:val="yellow"/>
          <w:lang w:val="en-CA"/>
        </w:rPr>
        <w:t>[CLIENT]</w:t>
      </w:r>
      <w:r w:rsidR="000019B2" w:rsidRPr="00814C24">
        <w:rPr>
          <w:lang w:val="en-CA"/>
        </w:rPr>
        <w:t xml:space="preserve"> at the </w:t>
      </w:r>
      <w:r w:rsidR="000019B2" w:rsidRPr="00814C24">
        <w:rPr>
          <w:highlight w:val="yellow"/>
          <w:lang w:val="en-CA"/>
        </w:rPr>
        <w:t>[DETENTION FACILTY]</w:t>
      </w:r>
      <w:r w:rsidR="000019B2" w:rsidRPr="00814C24">
        <w:rPr>
          <w:lang w:val="en-CA"/>
        </w:rPr>
        <w:t xml:space="preserve"> violates </w:t>
      </w:r>
      <w:r w:rsidR="000019B2" w:rsidRPr="00814C24">
        <w:t xml:space="preserve">the prohibition on cruel, inhuman, and degrading treatment because it dramatically increases the likelihood that </w:t>
      </w:r>
      <w:r w:rsidR="000019B2" w:rsidRPr="00814C24">
        <w:rPr>
          <w:highlight w:val="yellow"/>
          <w:lang w:val="en-CA"/>
        </w:rPr>
        <w:t>[he/she/they]</w:t>
      </w:r>
      <w:r w:rsidR="000019B2" w:rsidRPr="00814C24">
        <w:rPr>
          <w:lang w:val="en-CA"/>
        </w:rPr>
        <w:t xml:space="preserve"> will contract COVID-19, not receive adequate medical care, and develop a critical illness or die. Subjecting</w:t>
      </w:r>
      <w:r w:rsidR="000019B2" w:rsidRPr="00814C24">
        <w:t xml:space="preserve"> </w:t>
      </w:r>
      <w:r w:rsidR="000019B2" w:rsidRPr="00814C24">
        <w:rPr>
          <w:highlight w:val="yellow"/>
          <w:lang w:val="en-CA"/>
        </w:rPr>
        <w:t>[CLIENT]</w:t>
      </w:r>
      <w:r w:rsidR="000019B2" w:rsidRPr="00814C24">
        <w:rPr>
          <w:lang w:val="en-CA"/>
        </w:rPr>
        <w:t xml:space="preserve"> to these conditions of confinement is inhumane, and it a violation of the </w:t>
      </w:r>
      <w:r w:rsidR="000019B2" w:rsidRPr="00814C24">
        <w:rPr>
          <w:highlight w:val="yellow"/>
          <w:lang w:val="en-CA"/>
        </w:rPr>
        <w:t>[his/her/their]</w:t>
      </w:r>
      <w:r w:rsidR="000019B2" w:rsidRPr="00814C24">
        <w:rPr>
          <w:lang w:val="en-CA"/>
        </w:rPr>
        <w:t xml:space="preserve"> most basic human rights under the ICCPR and the CAT</w:t>
      </w:r>
      <w:r w:rsidR="0097796C">
        <w:rPr>
          <w:lang w:val="en-CA"/>
        </w:rPr>
        <w:t>.</w:t>
      </w:r>
    </w:p>
    <w:p w14:paraId="7892C770" w14:textId="1EBFE206" w:rsidR="00660D84" w:rsidRPr="0097796C" w:rsidRDefault="00660D84" w:rsidP="00FD2687">
      <w:pPr>
        <w:spacing w:line="480" w:lineRule="auto"/>
        <w:ind w:firstLine="720"/>
        <w:rPr>
          <w:b/>
          <w:bCs/>
        </w:rPr>
      </w:pPr>
      <w:r w:rsidRPr="0097796C">
        <w:rPr>
          <w:b/>
          <w:bCs/>
        </w:rPr>
        <w:t>A</w:t>
      </w:r>
      <w:r w:rsidR="0097796C" w:rsidRPr="0097796C">
        <w:rPr>
          <w:b/>
          <w:bCs/>
        </w:rPr>
        <w:t>.</w:t>
      </w:r>
      <w:r w:rsidRPr="0097796C">
        <w:rPr>
          <w:b/>
          <w:bCs/>
        </w:rPr>
        <w:t xml:space="preserve"> </w:t>
      </w:r>
      <w:r w:rsidR="0097796C" w:rsidRPr="0097796C">
        <w:rPr>
          <w:b/>
          <w:bCs/>
        </w:rPr>
        <w:t>The ICCPR and the CAT</w:t>
      </w:r>
      <w:r w:rsidR="0097796C">
        <w:rPr>
          <w:b/>
          <w:bCs/>
        </w:rPr>
        <w:t xml:space="preserve"> Are Binding International Law</w:t>
      </w:r>
    </w:p>
    <w:p w14:paraId="10A4B760" w14:textId="293BDCCF" w:rsidR="00482754" w:rsidRPr="00814C24" w:rsidRDefault="004F6AD4" w:rsidP="00FD2687">
      <w:pPr>
        <w:spacing w:line="480" w:lineRule="auto"/>
        <w:ind w:firstLine="720"/>
        <w:rPr>
          <w:i/>
          <w:iCs/>
        </w:rPr>
      </w:pPr>
      <w:r w:rsidRPr="00814C24">
        <w:t xml:space="preserve">The ICCPR embodies the judicial guarantees recognized as indispensable by civilized people and is </w:t>
      </w:r>
      <w:r w:rsidR="00EC1262" w:rsidRPr="00814C24">
        <w:t xml:space="preserve">considered </w:t>
      </w:r>
      <w:r w:rsidRPr="00814C24">
        <w:t xml:space="preserve">part of the International Bill of Human Rights. It is a United Nations treaty that entered into force on March 23, 1976, and was ratified by the United States in 1992, making its obligations legally binding. </w:t>
      </w:r>
      <w:r w:rsidRPr="00814C24">
        <w:rPr>
          <w:i/>
          <w:iCs/>
        </w:rPr>
        <w:t>See</w:t>
      </w:r>
      <w:r w:rsidR="00FD2687" w:rsidRPr="00814C24">
        <w:rPr>
          <w:i/>
          <w:iCs/>
        </w:rPr>
        <w:t xml:space="preserve"> </w:t>
      </w:r>
      <w:r w:rsidR="00E86FF4" w:rsidRPr="00814C24">
        <w:t>999 U.N.T.S. 171; S. Exec. Doc. E, 95-2 (1978); S. Treaty Doc. 95-20; 6 I.L.M. 368 (1967)</w:t>
      </w:r>
      <w:r w:rsidR="00FD2687" w:rsidRPr="00814C24">
        <w:t xml:space="preserve">. </w:t>
      </w:r>
      <w:r w:rsidR="00326DC7" w:rsidRPr="00814C24">
        <w:t>It</w:t>
      </w:r>
      <w:r w:rsidR="00482754" w:rsidRPr="00814C24">
        <w:t xml:space="preserve"> expressly prohibits “cruel, inhuman or degrading or treatment or punishment.” </w:t>
      </w:r>
      <w:r w:rsidR="00FD2687" w:rsidRPr="00814C24">
        <w:rPr>
          <w:i/>
          <w:iCs/>
        </w:rPr>
        <w:t>Id.</w:t>
      </w:r>
      <w:r w:rsidR="00482754" w:rsidRPr="00814C24">
        <w:t>, art. 7</w:t>
      </w:r>
      <w:r w:rsidR="00482754" w:rsidRPr="00814C24">
        <w:rPr>
          <w:color w:val="000000"/>
        </w:rPr>
        <w:t xml:space="preserve">. </w:t>
      </w:r>
    </w:p>
    <w:p w14:paraId="02C567B1" w14:textId="6F3E675B" w:rsidR="003217BE" w:rsidRPr="00814C24" w:rsidRDefault="00482754" w:rsidP="003217BE">
      <w:pPr>
        <w:spacing w:line="480" w:lineRule="auto"/>
        <w:ind w:firstLine="720"/>
        <w:rPr>
          <w:color w:val="000000"/>
        </w:rPr>
      </w:pPr>
      <w:r w:rsidRPr="00814C24">
        <w:t>T</w:t>
      </w:r>
      <w:r w:rsidR="004F6AD4" w:rsidRPr="00814C24">
        <w:t>he CAT</w:t>
      </w:r>
      <w:r w:rsidR="00EC1262" w:rsidRPr="00814C24">
        <w:t xml:space="preserve"> is the most comprehensive international human rights treaty concerning torture, obligating countries to prohibit and prevent torture and cruel, inhuman, or degrading treatment in all circumstances. The CAT entered into force on June 26, 1987, and was ratified by the United States on October 21, 1994. </w:t>
      </w:r>
      <w:r w:rsidR="00741BAC" w:rsidRPr="00814C24">
        <w:rPr>
          <w:i/>
          <w:iCs/>
        </w:rPr>
        <w:t>See</w:t>
      </w:r>
      <w:r w:rsidR="00E86FF4" w:rsidRPr="00814C24">
        <w:t xml:space="preserve"> 1465 U.N.T.S. 85, 113; S. Treaty Doc. No. 100-20 (1988); 23 I.L.M. 1027 (1984).</w:t>
      </w:r>
      <w:r w:rsidR="00741BAC" w:rsidRPr="00814C24">
        <w:rPr>
          <w:i/>
          <w:iCs/>
        </w:rPr>
        <w:t xml:space="preserve"> </w:t>
      </w:r>
    </w:p>
    <w:p w14:paraId="6CFF2955" w14:textId="78307AEF" w:rsidR="00482754" w:rsidRPr="00814C24" w:rsidRDefault="00E60323" w:rsidP="00306275">
      <w:pPr>
        <w:spacing w:line="480" w:lineRule="auto"/>
        <w:ind w:firstLine="720"/>
      </w:pPr>
      <w:r w:rsidRPr="00814C24">
        <w:t xml:space="preserve">Because the United States has </w:t>
      </w:r>
      <w:r w:rsidR="00326DC7" w:rsidRPr="00814C24">
        <w:t>ratified both</w:t>
      </w:r>
      <w:r w:rsidR="00482754" w:rsidRPr="00814C24">
        <w:t xml:space="preserve"> the ICCPR and the CAT</w:t>
      </w:r>
      <w:r w:rsidRPr="00814C24">
        <w:t xml:space="preserve">, Article VI of the Constitution </w:t>
      </w:r>
      <w:r w:rsidR="00326DC7" w:rsidRPr="00814C24">
        <w:t>declares</w:t>
      </w:r>
      <w:r w:rsidRPr="00814C24">
        <w:t xml:space="preserve"> them </w:t>
      </w:r>
      <w:r w:rsidR="00326DC7" w:rsidRPr="00814C24">
        <w:t xml:space="preserve">to be </w:t>
      </w:r>
      <w:r w:rsidRPr="00814C24">
        <w:t xml:space="preserve">the “supreme law of the land.” U.S. Const. art. VI. They are </w:t>
      </w:r>
      <w:r w:rsidRPr="00814C24">
        <w:lastRenderedPageBreak/>
        <w:t>“treaties made … under the authority of the United States,” which like the Constitution itself and the</w:t>
      </w:r>
      <w:r w:rsidR="00326DC7" w:rsidRPr="00814C24">
        <w:t xml:space="preserve"> “laws of the United States,” are binding on all federal and state courts. </w:t>
      </w:r>
      <w:r w:rsidR="00326DC7" w:rsidRPr="00814C24">
        <w:rPr>
          <w:i/>
          <w:iCs/>
        </w:rPr>
        <w:t xml:space="preserve">Id. </w:t>
      </w:r>
      <w:r w:rsidR="00326DC7" w:rsidRPr="00814C24">
        <w:t xml:space="preserve">(“the Judges in every State shall be bound thereby”). </w:t>
      </w:r>
      <w:r w:rsidRPr="00814C24">
        <w:rPr>
          <w:i/>
          <w:iCs/>
        </w:rPr>
        <w:t>See</w:t>
      </w:r>
      <w:r w:rsidRPr="00814C24">
        <w:t xml:space="preserve"> </w:t>
      </w:r>
      <w:r w:rsidR="00306275" w:rsidRPr="00814C24">
        <w:rPr>
          <w:smallCaps/>
        </w:rPr>
        <w:t>Restatement (Third) of Foreign Relations Law of the United States</w:t>
      </w:r>
      <w:r w:rsidR="00306275" w:rsidRPr="00814C24">
        <w:t xml:space="preserve"> § </w:t>
      </w:r>
      <w:r w:rsidRPr="00814C24">
        <w:t xml:space="preserve">111, </w:t>
      </w:r>
      <w:proofErr w:type="spellStart"/>
      <w:r w:rsidRPr="00814C24">
        <w:t>cmt</w:t>
      </w:r>
      <w:proofErr w:type="spellEnd"/>
      <w:r w:rsidRPr="00814C24">
        <w:t xml:space="preserve">. c. </w:t>
      </w:r>
      <w:r w:rsidR="00326DC7" w:rsidRPr="00814C24">
        <w:t xml:space="preserve">Indeed it is well-established that U.S. courts are “bound by the law of nations which is part of the law of the land.”  </w:t>
      </w:r>
      <w:r w:rsidR="00326DC7" w:rsidRPr="00814C24">
        <w:rPr>
          <w:i/>
        </w:rPr>
        <w:t xml:space="preserve">The </w:t>
      </w:r>
      <w:proofErr w:type="spellStart"/>
      <w:r w:rsidR="00326DC7" w:rsidRPr="00814C24">
        <w:rPr>
          <w:i/>
        </w:rPr>
        <w:t>Nereide</w:t>
      </w:r>
      <w:proofErr w:type="spellEnd"/>
      <w:r w:rsidR="00326DC7" w:rsidRPr="00814C24">
        <w:t xml:space="preserve">, 13 U.S. (9 </w:t>
      </w:r>
      <w:proofErr w:type="spellStart"/>
      <w:r w:rsidR="00326DC7" w:rsidRPr="00814C24">
        <w:t>Cranch</w:t>
      </w:r>
      <w:proofErr w:type="spellEnd"/>
      <w:r w:rsidR="00326DC7" w:rsidRPr="00814C24">
        <w:t xml:space="preserve">) 388, 423, 3 </w:t>
      </w:r>
      <w:proofErr w:type="spellStart"/>
      <w:r w:rsidR="00326DC7" w:rsidRPr="00814C24">
        <w:t>L.Ed</w:t>
      </w:r>
      <w:proofErr w:type="spellEnd"/>
      <w:r w:rsidR="00326DC7" w:rsidRPr="00814C24">
        <w:t xml:space="preserve">. 769 (1815); </w:t>
      </w:r>
      <w:r w:rsidR="00326DC7" w:rsidRPr="00814C24">
        <w:rPr>
          <w:i/>
        </w:rPr>
        <w:t>see also</w:t>
      </w:r>
      <w:r w:rsidR="00326DC7" w:rsidRPr="00814C24">
        <w:t xml:space="preserve"> </w:t>
      </w:r>
      <w:r w:rsidR="00326DC7" w:rsidRPr="00814C24">
        <w:rPr>
          <w:i/>
        </w:rPr>
        <w:t>Sosa v. Alvarez-</w:t>
      </w:r>
      <w:proofErr w:type="spellStart"/>
      <w:r w:rsidR="00326DC7" w:rsidRPr="00814C24">
        <w:rPr>
          <w:i/>
        </w:rPr>
        <w:t>Machain</w:t>
      </w:r>
      <w:proofErr w:type="spellEnd"/>
      <w:r w:rsidR="00326DC7" w:rsidRPr="00814C24">
        <w:t xml:space="preserve">, 542 U.S. 692 (2004) (“For two centuries we have affirmed that the domestic law of the United States recognizes the law of nations.”); </w:t>
      </w:r>
      <w:r w:rsidR="00326DC7" w:rsidRPr="00814C24">
        <w:rPr>
          <w:i/>
        </w:rPr>
        <w:t xml:space="preserve">The </w:t>
      </w:r>
      <w:proofErr w:type="spellStart"/>
      <w:r w:rsidR="00326DC7" w:rsidRPr="00814C24">
        <w:rPr>
          <w:i/>
        </w:rPr>
        <w:t>Paquete</w:t>
      </w:r>
      <w:proofErr w:type="spellEnd"/>
      <w:r w:rsidR="00326DC7" w:rsidRPr="00814C24">
        <w:rPr>
          <w:i/>
        </w:rPr>
        <w:t xml:space="preserve"> Habana</w:t>
      </w:r>
      <w:r w:rsidR="00326DC7" w:rsidRPr="00814C24">
        <w:t>, 175 U.S. 677, 700 (1900) (“International law is part of our law, and must be ascertained and administered by the courts of justice of appropriate jurisdiction as often as questions of right depending upon it are duly presented for their determination.”).</w:t>
      </w:r>
    </w:p>
    <w:p w14:paraId="7A0B5383" w14:textId="61A76CCC" w:rsidR="004F6AD4" w:rsidRPr="00814C24" w:rsidRDefault="004F6AD4" w:rsidP="00306275">
      <w:pPr>
        <w:spacing w:line="480" w:lineRule="auto"/>
        <w:ind w:firstLine="720"/>
      </w:pPr>
      <w:r w:rsidRPr="00814C24">
        <w:t>Therefore, in ratifying the ICCPR, the United States agreed to “ensure that any person whose rights or freedoms [recognized under the ICCPR] are violated shall have an effective remedy,” “[t]o ensure that any person claiming such a remedy shall have his right thereto determined by competent judicial, administrative or legislative authorities, or by any other competent authority provided for by the legal system of the [United States], and to develop the possibilities of judicial remedy” and “[t]o ensure that the competent authorities shall enforce such remedies when granted.”</w:t>
      </w:r>
      <w:r w:rsidRPr="00814C24">
        <w:rPr>
          <w:rStyle w:val="FootnoteReference"/>
        </w:rPr>
        <w:t xml:space="preserve"> </w:t>
      </w:r>
      <w:r w:rsidRPr="00814C24">
        <w:t>ICCPR art. 2, para. 3.</w:t>
      </w:r>
      <w:r w:rsidR="00D0435E" w:rsidRPr="00814C24">
        <w:t xml:space="preserve"> Likewise, in ratifying the CAT, the United States agreed to “take effective … judicial or other measures to prevent acts of torture,” CAT, art. 2, as well as “other acts of cruel, inhuman or degrading treatment,” </w:t>
      </w:r>
      <w:r w:rsidR="00D0435E" w:rsidRPr="00814C24">
        <w:rPr>
          <w:i/>
          <w:iCs/>
        </w:rPr>
        <w:t>id.</w:t>
      </w:r>
      <w:r w:rsidR="00D0435E" w:rsidRPr="00814C24">
        <w:t xml:space="preserve">, art. 16, and “ensure that any individual who alleges he has been subjected to torture … has the right to complain to, and have his case promptly and impartially examined by, its competent authorities.” </w:t>
      </w:r>
      <w:r w:rsidR="00D0435E" w:rsidRPr="00814C24">
        <w:rPr>
          <w:i/>
          <w:iCs/>
        </w:rPr>
        <w:t>Id.</w:t>
      </w:r>
      <w:r w:rsidR="00D0435E" w:rsidRPr="00814C24">
        <w:t>, art. 13.</w:t>
      </w:r>
    </w:p>
    <w:p w14:paraId="3854BF4A" w14:textId="77777777" w:rsidR="00DC77E0" w:rsidRPr="00814C24" w:rsidRDefault="00D0435E" w:rsidP="00DC77E0">
      <w:pPr>
        <w:spacing w:line="480" w:lineRule="auto"/>
        <w:ind w:firstLine="720"/>
        <w:rPr>
          <w:lang w:val="en-CA"/>
        </w:rPr>
      </w:pPr>
      <w:r w:rsidRPr="00814C24">
        <w:t>Significantly, the</w:t>
      </w:r>
      <w:r w:rsidR="00B934D0" w:rsidRPr="00814C24">
        <w:t xml:space="preserve">se obligations are </w:t>
      </w:r>
      <w:r w:rsidR="008C20FF" w:rsidRPr="00814C24">
        <w:t>“</w:t>
      </w:r>
      <w:r w:rsidR="00B934D0" w:rsidRPr="00814C24">
        <w:t>non-</w:t>
      </w:r>
      <w:proofErr w:type="spellStart"/>
      <w:r w:rsidR="00B934D0" w:rsidRPr="00814C24">
        <w:t>derogable</w:t>
      </w:r>
      <w:proofErr w:type="spellEnd"/>
      <w:r w:rsidR="008C20FF" w:rsidRPr="00814C24">
        <w:t>,” meaning that</w:t>
      </w:r>
      <w:r w:rsidR="00B934D0" w:rsidRPr="00814C24">
        <w:t xml:space="preserve"> </w:t>
      </w:r>
      <w:r w:rsidR="008C20FF" w:rsidRPr="00814C24">
        <w:t>b</w:t>
      </w:r>
      <w:r w:rsidR="00B934D0" w:rsidRPr="00814C24">
        <w:t xml:space="preserve">y their own terms, there is no public emergency that excuses compliance. </w:t>
      </w:r>
      <w:r w:rsidR="00B934D0" w:rsidRPr="00814C24">
        <w:rPr>
          <w:i/>
          <w:iCs/>
        </w:rPr>
        <w:t>See</w:t>
      </w:r>
      <w:r w:rsidR="00B934D0" w:rsidRPr="00814C24">
        <w:t xml:space="preserve"> CAT, art. 2 (“No exceptional </w:t>
      </w:r>
      <w:r w:rsidR="00B934D0" w:rsidRPr="00814C24">
        <w:lastRenderedPageBreak/>
        <w:t>circumstances whatsoever, whether a state of war or a threat of war, internal political instability or any other public emergency, may be invoked as a justification of torture.”)</w:t>
      </w:r>
      <w:r w:rsidR="00733A70" w:rsidRPr="00814C24">
        <w:t xml:space="preserve">; </w:t>
      </w:r>
      <w:r w:rsidR="00733A70" w:rsidRPr="00814C24">
        <w:rPr>
          <w:i/>
          <w:iCs/>
        </w:rPr>
        <w:t xml:space="preserve">see also </w:t>
      </w:r>
      <w:r w:rsidR="00733A70" w:rsidRPr="00814C24">
        <w:t>Committee Against Torture, General Comment No. 2, (Jan. 24, 2008) (“[T]</w:t>
      </w:r>
      <w:r w:rsidR="00733A70" w:rsidRPr="00814C24">
        <w:rPr>
          <w:color w:val="000000"/>
        </w:rPr>
        <w:t>he Committee has considered the prohibition of ill-treatment to be likewise non-</w:t>
      </w:r>
      <w:proofErr w:type="spellStart"/>
      <w:r w:rsidR="00733A70" w:rsidRPr="00814C24">
        <w:rPr>
          <w:color w:val="000000"/>
        </w:rPr>
        <w:t>derogable</w:t>
      </w:r>
      <w:proofErr w:type="spellEnd"/>
      <w:r w:rsidR="00733A70" w:rsidRPr="00814C24">
        <w:rPr>
          <w:color w:val="000000"/>
        </w:rPr>
        <w:t xml:space="preserve"> under the Convention and its prevention to be an effective and non-</w:t>
      </w:r>
      <w:proofErr w:type="spellStart"/>
      <w:r w:rsidR="00733A70" w:rsidRPr="00814C24">
        <w:rPr>
          <w:color w:val="000000"/>
        </w:rPr>
        <w:t>derogable</w:t>
      </w:r>
      <w:proofErr w:type="spellEnd"/>
      <w:r w:rsidR="00733A70" w:rsidRPr="00814C24">
        <w:rPr>
          <w:color w:val="000000"/>
        </w:rPr>
        <w:t xml:space="preserve"> measure”);</w:t>
      </w:r>
      <w:r w:rsidR="00B934D0" w:rsidRPr="00814C24">
        <w:t xml:space="preserve"> ICCPR, art. 4</w:t>
      </w:r>
      <w:r w:rsidR="008C20FF" w:rsidRPr="00814C24">
        <w:t xml:space="preserve"> (no derogation permitted even “[</w:t>
      </w:r>
      <w:proofErr w:type="spellStart"/>
      <w:r w:rsidR="008C20FF" w:rsidRPr="00814C24">
        <w:t>i</w:t>
      </w:r>
      <w:proofErr w:type="spellEnd"/>
      <w:r w:rsidR="008C20FF" w:rsidRPr="00814C24">
        <w:t xml:space="preserve">]n a time of public emergency which threatens the life of the nation.”). Indeed, </w:t>
      </w:r>
      <w:r w:rsidR="008C20FF" w:rsidRPr="00814C24">
        <w:rPr>
          <w:lang w:val="en-CA"/>
        </w:rPr>
        <w:t xml:space="preserve">the point is to ensure that governments respect </w:t>
      </w:r>
      <w:r w:rsidR="00733A70" w:rsidRPr="00814C24">
        <w:rPr>
          <w:lang w:val="en-CA"/>
        </w:rPr>
        <w:t xml:space="preserve">certain </w:t>
      </w:r>
      <w:r w:rsidR="008C20FF" w:rsidRPr="00814C24">
        <w:rPr>
          <w:lang w:val="en-CA"/>
        </w:rPr>
        <w:t xml:space="preserve">basic </w:t>
      </w:r>
      <w:r w:rsidR="00733A70" w:rsidRPr="00814C24">
        <w:rPr>
          <w:lang w:val="en-CA"/>
        </w:rPr>
        <w:t xml:space="preserve">human </w:t>
      </w:r>
      <w:r w:rsidR="008C20FF" w:rsidRPr="00814C24">
        <w:rPr>
          <w:lang w:val="en-CA"/>
        </w:rPr>
        <w:t>rights</w:t>
      </w:r>
      <w:r w:rsidR="00733A70" w:rsidRPr="00814C24">
        <w:rPr>
          <w:lang w:val="en-CA"/>
        </w:rPr>
        <w:t xml:space="preserve"> at all times</w:t>
      </w:r>
      <w:r w:rsidR="008C20FF" w:rsidRPr="00814C24">
        <w:rPr>
          <w:lang w:val="en-CA"/>
        </w:rPr>
        <w:t xml:space="preserve">, </w:t>
      </w:r>
      <w:r w:rsidR="008C20FF" w:rsidRPr="00814C24">
        <w:rPr>
          <w:i/>
          <w:iCs/>
          <w:lang w:val="en-CA"/>
        </w:rPr>
        <w:t>especially</w:t>
      </w:r>
      <w:r w:rsidR="008C20FF" w:rsidRPr="00814C24">
        <w:rPr>
          <w:lang w:val="en-CA"/>
        </w:rPr>
        <w:t xml:space="preserve"> </w:t>
      </w:r>
      <w:r w:rsidR="00733A70" w:rsidRPr="00814C24">
        <w:rPr>
          <w:lang w:val="en-CA"/>
        </w:rPr>
        <w:t>during a</w:t>
      </w:r>
      <w:r w:rsidR="008C20FF" w:rsidRPr="00814C24">
        <w:rPr>
          <w:lang w:val="en-CA"/>
        </w:rPr>
        <w:t xml:space="preserve"> crisis.</w:t>
      </w:r>
    </w:p>
    <w:p w14:paraId="06AE4B98" w14:textId="456D94FF" w:rsidR="00CD0F4C" w:rsidRPr="00814C24" w:rsidRDefault="00660D84" w:rsidP="0097796C">
      <w:pPr>
        <w:spacing w:line="480" w:lineRule="auto"/>
        <w:ind w:firstLine="720"/>
        <w:rPr>
          <w:lang w:val="en-CA"/>
        </w:rPr>
      </w:pPr>
      <w:r w:rsidRPr="00A751CC">
        <w:rPr>
          <w:b/>
          <w:bCs/>
        </w:rPr>
        <w:t>B</w:t>
      </w:r>
      <w:r>
        <w:t xml:space="preserve">. </w:t>
      </w:r>
      <w:r w:rsidR="0097796C" w:rsidRPr="0097796C">
        <w:rPr>
          <w:b/>
          <w:bCs/>
        </w:rPr>
        <w:t>The</w:t>
      </w:r>
      <w:r w:rsidR="00473811">
        <w:rPr>
          <w:b/>
          <w:bCs/>
        </w:rPr>
        <w:t xml:space="preserve"> Conditions of Confinement Violate the</w:t>
      </w:r>
      <w:r w:rsidR="0097796C" w:rsidRPr="0097796C">
        <w:rPr>
          <w:b/>
          <w:bCs/>
        </w:rPr>
        <w:t xml:space="preserve"> ICCPR and the CAT</w:t>
      </w:r>
      <w:r w:rsidR="00473811">
        <w:rPr>
          <w:b/>
          <w:bCs/>
        </w:rPr>
        <w:t>.</w:t>
      </w:r>
    </w:p>
    <w:p w14:paraId="60AE6A36" w14:textId="49A47F00" w:rsidR="00660D84" w:rsidRPr="00814C24" w:rsidRDefault="00660D84" w:rsidP="00660D84">
      <w:pPr>
        <w:spacing w:line="480" w:lineRule="auto"/>
        <w:ind w:firstLine="720"/>
        <w:rPr>
          <w:lang w:val="en-CA"/>
        </w:rPr>
      </w:pPr>
      <w:r w:rsidRPr="00814C24">
        <w:t>Under current conditions</w:t>
      </w:r>
      <w:r w:rsidR="00613ABC">
        <w:t xml:space="preserve">, </w:t>
      </w:r>
      <w:r w:rsidRPr="00814C24">
        <w:rPr>
          <w:lang w:val="en-CA"/>
        </w:rPr>
        <w:t xml:space="preserve">the </w:t>
      </w:r>
      <w:r w:rsidRPr="00814C24">
        <w:rPr>
          <w:highlight w:val="yellow"/>
          <w:lang w:val="en-CA"/>
        </w:rPr>
        <w:t>[DETENTION FACILTY]</w:t>
      </w:r>
      <w:r w:rsidRPr="00814C24">
        <w:rPr>
          <w:lang w:val="en-CA"/>
        </w:rPr>
        <w:t xml:space="preserve"> </w:t>
      </w:r>
      <w:r w:rsidRPr="00814C24">
        <w:t xml:space="preserve">is incapable of providing adequate health care to </w:t>
      </w:r>
      <w:r w:rsidRPr="00814C24">
        <w:rPr>
          <w:highlight w:val="yellow"/>
          <w:lang w:val="en-CA"/>
        </w:rPr>
        <w:t>[CLIENT]</w:t>
      </w:r>
      <w:r w:rsidRPr="00814C24">
        <w:rPr>
          <w:lang w:val="en-CA"/>
        </w:rPr>
        <w:t xml:space="preserve">. </w:t>
      </w:r>
      <w:r w:rsidRPr="00814C24">
        <w:rPr>
          <w:highlight w:val="yellow"/>
          <w:lang w:val="en-CA"/>
        </w:rPr>
        <w:t>[Add FACILITY-specific info &amp; cite</w:t>
      </w:r>
      <w:r w:rsidRPr="00AF0C0D">
        <w:rPr>
          <w:highlight w:val="yellow"/>
          <w:lang w:val="en-CA"/>
        </w:rPr>
        <w:t>s</w:t>
      </w:r>
      <w:r w:rsidR="00AF0C0D" w:rsidRPr="00AF0C0D">
        <w:rPr>
          <w:highlight w:val="yellow"/>
          <w:lang w:val="en-CA"/>
        </w:rPr>
        <w:t>]</w:t>
      </w:r>
      <w:r w:rsidRPr="00AF0C0D">
        <w:rPr>
          <w:highlight w:val="yellow"/>
          <w:lang w:val="en-CA"/>
        </w:rPr>
        <w:t>;</w:t>
      </w:r>
      <w:r w:rsidRPr="00814C24">
        <w:rPr>
          <w:lang w:val="en-CA"/>
        </w:rPr>
        <w:t xml:space="preserve"> </w:t>
      </w:r>
      <w:r w:rsidRPr="00814C24">
        <w:rPr>
          <w:i/>
          <w:iCs/>
          <w:lang w:val="en-CA"/>
        </w:rPr>
        <w:t>see also,</w:t>
      </w:r>
      <w:r w:rsidRPr="00814C24">
        <w:rPr>
          <w:lang w:val="en-CA"/>
        </w:rPr>
        <w:t xml:space="preserve"> Affidavit of Jonathan </w:t>
      </w:r>
      <w:proofErr w:type="spellStart"/>
      <w:r w:rsidRPr="00814C24">
        <w:rPr>
          <w:lang w:val="en-CA"/>
        </w:rPr>
        <w:t>Giftos</w:t>
      </w:r>
      <w:proofErr w:type="spellEnd"/>
      <w:r w:rsidRPr="00814C24">
        <w:rPr>
          <w:lang w:val="en-CA"/>
        </w:rPr>
        <w:t xml:space="preserve">, M.D., </w:t>
      </w:r>
      <w:r w:rsidRPr="00814C24">
        <w:rPr>
          <w:i/>
          <w:iCs/>
          <w:lang w:val="en-CA"/>
        </w:rPr>
        <w:t>United States v. Chandler</w:t>
      </w:r>
      <w:r w:rsidRPr="00814C24">
        <w:rPr>
          <w:lang w:val="en-CA"/>
        </w:rPr>
        <w:t xml:space="preserve">, No. 19-cr-867 (S.D.N.Y., Mar. 23, 2020) (noting that there are only two doctors for 700 </w:t>
      </w:r>
      <w:r w:rsidR="000C527D">
        <w:rPr>
          <w:lang w:val="en-CA"/>
        </w:rPr>
        <w:t>jailed people</w:t>
      </w:r>
      <w:r w:rsidR="000C527D" w:rsidRPr="00814C24">
        <w:rPr>
          <w:lang w:val="en-CA"/>
        </w:rPr>
        <w:t xml:space="preserve"> </w:t>
      </w:r>
      <w:r w:rsidRPr="00814C24">
        <w:rPr>
          <w:lang w:val="en-CA"/>
        </w:rPr>
        <w:t xml:space="preserve">at MCC in New York City, and that the facility has a history of halting medical care entirely during previous times of crisis). The medical care at the </w:t>
      </w:r>
      <w:r w:rsidRPr="00814C24">
        <w:rPr>
          <w:highlight w:val="yellow"/>
          <w:lang w:val="en-CA"/>
        </w:rPr>
        <w:t>[DETENTION FACILTY]</w:t>
      </w:r>
      <w:r w:rsidRPr="00814C24">
        <w:rPr>
          <w:lang w:val="en-CA"/>
        </w:rPr>
        <w:t xml:space="preserve"> has repeatedly failed to adequately address even routine medical conditions, including for</w:t>
      </w:r>
      <w:r w:rsidRPr="00814C24">
        <w:t xml:space="preserve"> </w:t>
      </w:r>
      <w:r w:rsidRPr="00814C24">
        <w:rPr>
          <w:highlight w:val="yellow"/>
          <w:lang w:val="en-CA"/>
        </w:rPr>
        <w:t>[CLIENT, if applicable]</w:t>
      </w:r>
      <w:r w:rsidRPr="00814C24">
        <w:rPr>
          <w:lang w:val="en-CA"/>
        </w:rPr>
        <w:t>.</w:t>
      </w:r>
      <w:r w:rsidRPr="00814C24">
        <w:t xml:space="preserve"> </w:t>
      </w:r>
      <w:r w:rsidRPr="00814C24">
        <w:rPr>
          <w:highlight w:val="yellow"/>
          <w:lang w:val="en-CA"/>
        </w:rPr>
        <w:t>[CLIENT]</w:t>
      </w:r>
      <w:r w:rsidRPr="00814C24">
        <w:rPr>
          <w:lang w:val="en-CA"/>
        </w:rPr>
        <w:t xml:space="preserve"> does not deserve to contract COVID-19 because of the lack of hygiene and medical care the </w:t>
      </w:r>
      <w:r w:rsidRPr="00814C24">
        <w:rPr>
          <w:highlight w:val="yellow"/>
          <w:lang w:val="en-CA"/>
        </w:rPr>
        <w:t>[DETENTION FACILTY]</w:t>
      </w:r>
      <w:r w:rsidRPr="00814C24">
        <w:rPr>
          <w:lang w:val="en-CA"/>
        </w:rPr>
        <w:t>.</w:t>
      </w:r>
    </w:p>
    <w:p w14:paraId="0646700B" w14:textId="43E0C403" w:rsidR="00443062" w:rsidRPr="00814C24" w:rsidRDefault="009335E4" w:rsidP="005005E6">
      <w:pPr>
        <w:spacing w:line="480" w:lineRule="auto"/>
        <w:ind w:firstLine="720"/>
        <w:rPr>
          <w:lang w:val="en-CA"/>
        </w:rPr>
      </w:pPr>
      <w:r>
        <w:t>Far from providing adequate healthcare in the face of the current pandemic, f</w:t>
      </w:r>
      <w:r w:rsidR="00515AEB" w:rsidRPr="00814C24">
        <w:t>acilities</w:t>
      </w:r>
      <w:r w:rsidR="008F6D74" w:rsidRPr="00814C24">
        <w:t xml:space="preserve"> </w:t>
      </w:r>
      <w:r w:rsidR="00515AEB" w:rsidRPr="00814C24">
        <w:t xml:space="preserve">like </w:t>
      </w:r>
      <w:r w:rsidR="008F6D74" w:rsidRPr="00814C24">
        <w:rPr>
          <w:lang w:val="en-CA"/>
        </w:rPr>
        <w:t xml:space="preserve">the </w:t>
      </w:r>
      <w:r w:rsidR="008F6D74" w:rsidRPr="00814C24">
        <w:rPr>
          <w:highlight w:val="yellow"/>
          <w:lang w:val="en-CA"/>
        </w:rPr>
        <w:t>[DETENTION FACILTY]</w:t>
      </w:r>
      <w:r w:rsidR="008F6D74" w:rsidRPr="00814C24">
        <w:rPr>
          <w:lang w:val="en-CA"/>
        </w:rPr>
        <w:t xml:space="preserve"> are breeding grounds for disease </w:t>
      </w:r>
      <w:r>
        <w:rPr>
          <w:lang w:val="en-CA"/>
        </w:rPr>
        <w:t xml:space="preserve">even </w:t>
      </w:r>
      <w:r w:rsidR="008F6D74" w:rsidRPr="00814C24">
        <w:rPr>
          <w:lang w:val="en-CA"/>
        </w:rPr>
        <w:t xml:space="preserve">under </w:t>
      </w:r>
      <w:r w:rsidR="00F2668B" w:rsidRPr="00814C24">
        <w:rPr>
          <w:lang w:val="en-CA"/>
        </w:rPr>
        <w:t>everyday</w:t>
      </w:r>
      <w:r w:rsidR="008F6D74" w:rsidRPr="00814C24">
        <w:rPr>
          <w:lang w:val="en-CA"/>
        </w:rPr>
        <w:t xml:space="preserve"> conditions.</w:t>
      </w:r>
      <w:r w:rsidR="004031D0" w:rsidRPr="00814C24">
        <w:rPr>
          <w:lang w:val="en-CA"/>
        </w:rPr>
        <w:t xml:space="preserve"> </w:t>
      </w:r>
      <w:r w:rsidR="00956B81" w:rsidRPr="00814C24">
        <w:rPr>
          <w:i/>
          <w:iCs/>
          <w:lang w:val="en-CA"/>
        </w:rPr>
        <w:t xml:space="preserve">See </w:t>
      </w:r>
      <w:r w:rsidR="00956B81" w:rsidRPr="00814C24">
        <w:rPr>
          <w:lang w:val="en-CA"/>
        </w:rPr>
        <w:t xml:space="preserve">Stuart </w:t>
      </w:r>
      <w:proofErr w:type="spellStart"/>
      <w:r w:rsidR="00956B81" w:rsidRPr="00814C24">
        <w:rPr>
          <w:lang w:val="en-CA"/>
        </w:rPr>
        <w:t>Kinner</w:t>
      </w:r>
      <w:proofErr w:type="spellEnd"/>
      <w:r w:rsidR="00956B81" w:rsidRPr="00814C24">
        <w:rPr>
          <w:lang w:val="en-CA"/>
        </w:rPr>
        <w:t xml:space="preserve"> et al., </w:t>
      </w:r>
      <w:r w:rsidR="00956B81" w:rsidRPr="00814C24">
        <w:rPr>
          <w:i/>
          <w:iCs/>
          <w:lang w:val="en-CA"/>
        </w:rPr>
        <w:t>Prisons and custodial settings are part of a comprehensive response to COVID-19</w:t>
      </w:r>
      <w:r w:rsidR="00956B81" w:rsidRPr="00814C24">
        <w:rPr>
          <w:lang w:val="en-CA"/>
        </w:rPr>
        <w:t xml:space="preserve">, </w:t>
      </w:r>
      <w:r w:rsidR="00956B81" w:rsidRPr="00814C24">
        <w:rPr>
          <w:smallCaps/>
          <w:lang w:val="en-CA"/>
        </w:rPr>
        <w:t>Lancet</w:t>
      </w:r>
      <w:r w:rsidR="00814C24" w:rsidRPr="00814C24">
        <w:rPr>
          <w:lang w:val="en-CA"/>
        </w:rPr>
        <w:t>, Apr. 2020, at 188</w:t>
      </w:r>
      <w:r w:rsidR="00956B81" w:rsidRPr="00814C24">
        <w:rPr>
          <w:lang w:val="en-CA"/>
        </w:rPr>
        <w:t xml:space="preserve"> (Mar. 17, 2020) (“Prisons are epicenters for infectious diseases because of … the unavoidable close contact in often overcrowded, poorly ventilated, </w:t>
      </w:r>
      <w:r w:rsidR="00956B81" w:rsidRPr="00814C24">
        <w:rPr>
          <w:lang w:val="en-CA"/>
        </w:rPr>
        <w:lastRenderedPageBreak/>
        <w:t xml:space="preserve">and unsanitary facilities, and the poor access to health-care services”). </w:t>
      </w:r>
      <w:r w:rsidR="004031D0" w:rsidRPr="00814C24">
        <w:rPr>
          <w:lang w:val="en-CA"/>
        </w:rPr>
        <w:t>Infection rates for tuberculosis are between 10 and 100 times higher than</w:t>
      </w:r>
      <w:r w:rsidR="008F6D74" w:rsidRPr="00814C24">
        <w:rPr>
          <w:lang w:val="en-CA"/>
        </w:rPr>
        <w:t xml:space="preserve"> </w:t>
      </w:r>
      <w:r w:rsidR="004031D0" w:rsidRPr="00814C24">
        <w:rPr>
          <w:lang w:val="en-CA"/>
        </w:rPr>
        <w:t>in the community, and people in prison are five times more likely to be living with HIV.</w:t>
      </w:r>
      <w:r w:rsidR="004031D0" w:rsidRPr="00814C24">
        <w:rPr>
          <w:rStyle w:val="FootnoteReference"/>
          <w:lang w:val="en-CA"/>
        </w:rPr>
        <w:footnoteReference w:id="29"/>
      </w:r>
      <w:r w:rsidR="004031D0" w:rsidRPr="00814C24">
        <w:rPr>
          <w:lang w:val="en-CA"/>
        </w:rPr>
        <w:t xml:space="preserve"> </w:t>
      </w:r>
      <w:r w:rsidR="008F6D74" w:rsidRPr="00814C24">
        <w:rPr>
          <w:lang w:val="en-CA"/>
        </w:rPr>
        <w:t xml:space="preserve"> But these are not </w:t>
      </w:r>
      <w:r w:rsidR="00F2668B" w:rsidRPr="00814C24">
        <w:rPr>
          <w:lang w:val="en-CA"/>
        </w:rPr>
        <w:t>ever</w:t>
      </w:r>
      <w:r w:rsidR="00BD6F4B" w:rsidRPr="00814C24">
        <w:rPr>
          <w:lang w:val="en-CA"/>
        </w:rPr>
        <w:t>y</w:t>
      </w:r>
      <w:r w:rsidR="00F2668B" w:rsidRPr="00814C24">
        <w:rPr>
          <w:lang w:val="en-CA"/>
        </w:rPr>
        <w:t>day</w:t>
      </w:r>
      <w:r w:rsidR="008F6D74" w:rsidRPr="00814C24">
        <w:rPr>
          <w:lang w:val="en-CA"/>
        </w:rPr>
        <w:t xml:space="preserve"> conditions. COVID-19 is exceptionally contagious, infecting</w:t>
      </w:r>
      <w:r w:rsidR="00DB7BA1" w:rsidRPr="00814C24">
        <w:rPr>
          <w:lang w:val="en-CA"/>
        </w:rPr>
        <w:t xml:space="preserve"> people at</w:t>
      </w:r>
      <w:r w:rsidR="008F6D74" w:rsidRPr="00814C24">
        <w:rPr>
          <w:lang w:val="en-CA"/>
        </w:rPr>
        <w:t xml:space="preserve"> </w:t>
      </w:r>
      <w:r w:rsidR="00DB7BA1" w:rsidRPr="00814C24">
        <w:rPr>
          <w:lang w:val="en-CA"/>
        </w:rPr>
        <w:t xml:space="preserve">nearly </w:t>
      </w:r>
      <w:r w:rsidR="008F6D74" w:rsidRPr="00814C24">
        <w:rPr>
          <w:lang w:val="en-CA"/>
        </w:rPr>
        <w:t>t</w:t>
      </w:r>
      <w:r w:rsidR="00DB7BA1" w:rsidRPr="00814C24">
        <w:rPr>
          <w:lang w:val="en-CA"/>
        </w:rPr>
        <w:t xml:space="preserve">wice the rate of </w:t>
      </w:r>
      <w:r w:rsidR="008F6D74" w:rsidRPr="00814C24">
        <w:rPr>
          <w:lang w:val="en-CA"/>
        </w:rPr>
        <w:t>the flu.</w:t>
      </w:r>
      <w:r w:rsidR="00DB7BA1" w:rsidRPr="00814C24">
        <w:rPr>
          <w:rStyle w:val="FootnoteReference"/>
          <w:lang w:val="en-CA"/>
        </w:rPr>
        <w:footnoteReference w:id="30"/>
      </w:r>
      <w:r w:rsidR="00EA7723" w:rsidRPr="00814C24">
        <w:rPr>
          <w:lang w:val="en-CA"/>
        </w:rPr>
        <w:t xml:space="preserve"> </w:t>
      </w:r>
      <w:r w:rsidR="00443062" w:rsidRPr="00814C24">
        <w:rPr>
          <w:lang w:val="en-CA"/>
        </w:rPr>
        <w:t xml:space="preserve">And because there is currently no vaccine or cure for COVID-19, the primary focus is on preventing the spread of the virus. To prevent new infections, the CDC strongly recommends the following actions: thorough and frequent handwashing, cleaning surfaces with Environmental Protection Agency approved disinfectants, keeping at least 6 feet of space between people, </w:t>
      </w:r>
      <w:r w:rsidR="008C074C" w:rsidRPr="00814C24">
        <w:rPr>
          <w:lang w:val="en-CA"/>
        </w:rPr>
        <w:t xml:space="preserve">quarantine procedures, </w:t>
      </w:r>
      <w:r w:rsidR="00443062" w:rsidRPr="00814C24">
        <w:rPr>
          <w:lang w:val="en-CA"/>
        </w:rPr>
        <w:t>and social distancing.</w:t>
      </w:r>
      <w:r w:rsidR="00FD2687" w:rsidRPr="00814C24">
        <w:rPr>
          <w:rStyle w:val="FootnoteReference"/>
          <w:lang w:val="en-CA"/>
        </w:rPr>
        <w:footnoteReference w:id="31"/>
      </w:r>
    </w:p>
    <w:p w14:paraId="099CB8D2" w14:textId="656D10D0" w:rsidR="00443062" w:rsidRPr="00814C24" w:rsidRDefault="008F6D74" w:rsidP="00443062">
      <w:pPr>
        <w:spacing w:line="480" w:lineRule="auto"/>
        <w:ind w:firstLine="720"/>
        <w:rPr>
          <w:lang w:val="en-CA"/>
        </w:rPr>
      </w:pPr>
      <w:r w:rsidRPr="00814C24">
        <w:rPr>
          <w:lang w:val="en-CA"/>
        </w:rPr>
        <w:t>Yet people in detention</w:t>
      </w:r>
      <w:r w:rsidR="00443062" w:rsidRPr="00814C24">
        <w:rPr>
          <w:lang w:val="en-CA"/>
        </w:rPr>
        <w:t xml:space="preserve">, including </w:t>
      </w:r>
      <w:r w:rsidR="00443062" w:rsidRPr="00814C24">
        <w:rPr>
          <w:highlight w:val="yellow"/>
          <w:lang w:val="en-CA"/>
        </w:rPr>
        <w:t>[CLIENT]</w:t>
      </w:r>
      <w:r w:rsidR="00443062" w:rsidRPr="00814C24">
        <w:rPr>
          <w:lang w:val="en-CA"/>
        </w:rPr>
        <w:t xml:space="preserve">, </w:t>
      </w:r>
      <w:r w:rsidRPr="00814C24">
        <w:rPr>
          <w:lang w:val="en-CA"/>
        </w:rPr>
        <w:t>cannot take the exceptional measures necessary to stop the spread of the virus. They</w:t>
      </w:r>
      <w:r w:rsidR="00F2668B" w:rsidRPr="00814C24">
        <w:rPr>
          <w:lang w:val="en-CA"/>
        </w:rPr>
        <w:t xml:space="preserve"> cannot </w:t>
      </w:r>
      <w:r w:rsidRPr="00814C24">
        <w:rPr>
          <w:lang w:val="en-CA"/>
        </w:rPr>
        <w:t xml:space="preserve">“social distance” themselves </w:t>
      </w:r>
      <w:r w:rsidR="00F2668B" w:rsidRPr="00814C24">
        <w:rPr>
          <w:lang w:val="en-CA"/>
        </w:rPr>
        <w:t xml:space="preserve">because they are locked in </w:t>
      </w:r>
      <w:r w:rsidR="0097796C">
        <w:rPr>
          <w:lang w:val="en-CA"/>
        </w:rPr>
        <w:t>small cells</w:t>
      </w:r>
      <w:r w:rsidR="00F2668B" w:rsidRPr="00814C24">
        <w:rPr>
          <w:lang w:val="en-CA"/>
        </w:rPr>
        <w:t xml:space="preserve"> with other people. They cannot wash their hands regularly because there i</w:t>
      </w:r>
      <w:r w:rsidR="00443062" w:rsidRPr="00814C24">
        <w:rPr>
          <w:lang w:val="en-CA"/>
        </w:rPr>
        <w:t xml:space="preserve">s often no </w:t>
      </w:r>
      <w:r w:rsidR="00F2668B" w:rsidRPr="00814C24">
        <w:rPr>
          <w:lang w:val="en-CA"/>
        </w:rPr>
        <w:t xml:space="preserve">soap </w:t>
      </w:r>
      <w:r w:rsidR="00305CD3">
        <w:rPr>
          <w:lang w:val="en-CA"/>
        </w:rPr>
        <w:t>available</w:t>
      </w:r>
      <w:r w:rsidR="00F2668B" w:rsidRPr="00814C24">
        <w:rPr>
          <w:lang w:val="en-CA"/>
        </w:rPr>
        <w:t xml:space="preserve">. They cannot use hand sanitizer because it is considered contraband. </w:t>
      </w:r>
      <w:r w:rsidR="002C2AFC" w:rsidRPr="00814C24">
        <w:rPr>
          <w:lang w:val="en-CA"/>
        </w:rPr>
        <w:t xml:space="preserve">They cannot cover their mouths when handcuffed. </w:t>
      </w:r>
      <w:r w:rsidR="00443062" w:rsidRPr="00814C24">
        <w:rPr>
          <w:lang w:val="en-CA"/>
        </w:rPr>
        <w:t>I</w:t>
      </w:r>
      <w:r w:rsidR="00F2668B" w:rsidRPr="00814C24">
        <w:rPr>
          <w:lang w:val="en-CA"/>
        </w:rPr>
        <w:t xml:space="preserve">nfected individuals </w:t>
      </w:r>
      <w:r w:rsidR="00443062" w:rsidRPr="00814C24">
        <w:rPr>
          <w:lang w:val="en-CA"/>
        </w:rPr>
        <w:t>are not</w:t>
      </w:r>
      <w:r w:rsidR="00F2668B" w:rsidRPr="00814C24">
        <w:rPr>
          <w:lang w:val="en-CA"/>
        </w:rPr>
        <w:t xml:space="preserve"> be</w:t>
      </w:r>
      <w:r w:rsidR="00443062" w:rsidRPr="00814C24">
        <w:rPr>
          <w:lang w:val="en-CA"/>
        </w:rPr>
        <w:t>ing</w:t>
      </w:r>
      <w:r w:rsidR="00F2668B" w:rsidRPr="00814C24">
        <w:rPr>
          <w:lang w:val="en-CA"/>
        </w:rPr>
        <w:t xml:space="preserve"> isolated because of space constraints and security concerns. </w:t>
      </w:r>
      <w:r w:rsidR="00F86952" w:rsidRPr="00814C24">
        <w:rPr>
          <w:lang w:val="en-CA"/>
        </w:rPr>
        <w:t xml:space="preserve">Consequently, at least one facility in New </w:t>
      </w:r>
      <w:r w:rsidR="00F86952" w:rsidRPr="00814C24">
        <w:rPr>
          <w:lang w:val="en-CA"/>
        </w:rPr>
        <w:lastRenderedPageBreak/>
        <w:t>York City has an infection rate 7 times higher than the statewide average and 119 times higher than mainland China.</w:t>
      </w:r>
      <w:r w:rsidR="00F86952" w:rsidRPr="00814C24">
        <w:rPr>
          <w:rStyle w:val="FootnoteReference"/>
          <w:lang w:val="en-CA"/>
        </w:rPr>
        <w:footnoteReference w:id="32"/>
      </w:r>
      <w:r w:rsidR="00F86952" w:rsidRPr="00814C24">
        <w:rPr>
          <w:lang w:val="en-CA"/>
        </w:rPr>
        <w:t xml:space="preserve"> </w:t>
      </w:r>
    </w:p>
    <w:p w14:paraId="54167D7E" w14:textId="210322BD" w:rsidR="002C33FD" w:rsidRPr="00814C24" w:rsidRDefault="00DC77E0" w:rsidP="0051159B">
      <w:pPr>
        <w:spacing w:line="480" w:lineRule="auto"/>
        <w:ind w:firstLine="720"/>
      </w:pPr>
      <w:r w:rsidRPr="00814C24">
        <w:t xml:space="preserve">As the UN High Commissioner for Human Rights </w:t>
      </w:r>
      <w:r w:rsidR="00515AEB" w:rsidRPr="00814C24">
        <w:t>stated</w:t>
      </w:r>
      <w:r w:rsidRPr="00814C24">
        <w:t xml:space="preserve"> on March 25, 2020, “detention facilities are overcrowded, in some cases dangerously so. People are often held in unhygienic conditions and health services are inadequate or even non-existent. Physical distancing and self-isolation in such conditions are practically impossible.”</w:t>
      </w:r>
      <w:r w:rsidRPr="00814C24">
        <w:rPr>
          <w:rStyle w:val="FootnoteReference"/>
        </w:rPr>
        <w:footnoteReference w:id="33"/>
      </w:r>
      <w:r w:rsidRPr="00814C24">
        <w:t xml:space="preserve"> The High Commissioner</w:t>
      </w:r>
      <w:r w:rsidR="00515AEB" w:rsidRPr="00814C24">
        <w:t xml:space="preserve"> </w:t>
      </w:r>
      <w:r w:rsidRPr="00814C24">
        <w:t xml:space="preserve">therefore </w:t>
      </w:r>
      <w:r w:rsidR="00515AEB" w:rsidRPr="00814C24">
        <w:t>urg</w:t>
      </w:r>
      <w:r w:rsidR="0051159B">
        <w:t>ed</w:t>
      </w:r>
      <w:r w:rsidRPr="00814C24">
        <w:t xml:space="preserve"> governments and relevant authorities to “work quickly to reduce the number of people in detention</w:t>
      </w:r>
      <w:r w:rsidR="00515AEB" w:rsidRPr="00814C24">
        <w:t>.</w:t>
      </w:r>
      <w:r w:rsidRPr="00814C24">
        <w:t>”</w:t>
      </w:r>
      <w:r w:rsidR="00515AEB" w:rsidRPr="00814C24">
        <w:t xml:space="preserve"> </w:t>
      </w:r>
      <w:r w:rsidR="00515AEB" w:rsidRPr="00814C24">
        <w:rPr>
          <w:i/>
          <w:iCs/>
        </w:rPr>
        <w:t>Id</w:t>
      </w:r>
      <w:r w:rsidR="00515AEB" w:rsidRPr="00814C24">
        <w:t>.</w:t>
      </w:r>
      <w:r w:rsidR="0051159B">
        <w:t xml:space="preserve"> T</w:t>
      </w:r>
      <w:r w:rsidR="0051159B" w:rsidRPr="0051159B">
        <w:t>he UN Subcommittee on the Prevention of Torture</w:t>
      </w:r>
      <w:r w:rsidR="0051159B">
        <w:t xml:space="preserve"> </w:t>
      </w:r>
      <w:r w:rsidR="0051159B" w:rsidRPr="0051159B">
        <w:t>called on governments in response to COVID-19 to “reduce prison populations and other detention populations wherever possible.”</w:t>
      </w:r>
      <w:r w:rsidR="0051159B">
        <w:rPr>
          <w:rStyle w:val="FootnoteReference"/>
        </w:rPr>
        <w:footnoteReference w:id="34"/>
      </w:r>
      <w:r w:rsidR="0051159B">
        <w:t xml:space="preserve"> And</w:t>
      </w:r>
      <w:r w:rsidR="005005E6" w:rsidRPr="00814C24">
        <w:t xml:space="preserve"> the Council of Europe said it was imperative to consider alternatives to deprivation of liberty, particularly in situations of overcrowding.</w:t>
      </w:r>
      <w:r w:rsidR="005005E6" w:rsidRPr="00814C24">
        <w:rPr>
          <w:rStyle w:val="FootnoteReference"/>
        </w:rPr>
        <w:footnoteReference w:id="35"/>
      </w:r>
      <w:r w:rsidR="005005E6" w:rsidRPr="00814C24">
        <w:t xml:space="preserve"> </w:t>
      </w:r>
      <w:r w:rsidR="0051159B">
        <w:t>M</w:t>
      </w:r>
      <w:r w:rsidR="005005E6" w:rsidRPr="00814C24">
        <w:t>ost recently,</w:t>
      </w:r>
      <w:r w:rsidR="002C33FD" w:rsidRPr="00814C24">
        <w:t xml:space="preserve"> the United Nations’ Inter-Agency Standing Committee, the longest-standing and highest-level humanitarian coordination forum of the UN system, called on public authorities to “take immediate steps to address prison overcrowding, including measures to respect WHO guidance on social distancing and other health measures” and prioritize “[r]</w:t>
      </w:r>
      <w:proofErr w:type="spellStart"/>
      <w:r w:rsidR="002C33FD" w:rsidRPr="00814C24">
        <w:t>elease</w:t>
      </w:r>
      <w:proofErr w:type="spellEnd"/>
      <w:r w:rsidR="002C33FD" w:rsidRPr="00814C24">
        <w:t xml:space="preserve"> of individuals, including children, persons with underlying health conditions, persons with low risk profiles and who have committed minor </w:t>
      </w:r>
      <w:r w:rsidR="002C33FD" w:rsidRPr="00814C24">
        <w:lastRenderedPageBreak/>
        <w:t>and petty offences, persons with imminent release dates and those detained for offences not recognized under international law.”</w:t>
      </w:r>
      <w:r w:rsidR="002C33FD" w:rsidRPr="00814C24">
        <w:rPr>
          <w:rStyle w:val="FootnoteReference"/>
        </w:rPr>
        <w:footnoteReference w:id="36"/>
      </w:r>
    </w:p>
    <w:p w14:paraId="29EEBE66" w14:textId="0AFBFB8D" w:rsidR="009335E4" w:rsidRDefault="00D83108" w:rsidP="005005E6">
      <w:pPr>
        <w:spacing w:line="480" w:lineRule="auto"/>
        <w:rPr>
          <w:lang w:val="en-CA"/>
        </w:rPr>
      </w:pPr>
      <w:r w:rsidRPr="00814C24">
        <w:tab/>
      </w:r>
      <w:r w:rsidR="00E442B7">
        <w:t>The</w:t>
      </w:r>
      <w:r w:rsidR="00B43D2F" w:rsidRPr="00814C24">
        <w:t xml:space="preserve"> conditions</w:t>
      </w:r>
      <w:r w:rsidRPr="00814C24">
        <w:rPr>
          <w:lang w:val="en-CA"/>
        </w:rPr>
        <w:t xml:space="preserve"> </w:t>
      </w:r>
      <w:r w:rsidR="00E442B7" w:rsidRPr="00E473DF">
        <w:rPr>
          <w:highlight w:val="yellow"/>
          <w:lang w:val="en-CA"/>
        </w:rPr>
        <w:t>[CLIENT]</w:t>
      </w:r>
      <w:r w:rsidR="00E442B7">
        <w:rPr>
          <w:lang w:val="en-CA"/>
        </w:rPr>
        <w:t xml:space="preserve"> faces in </w:t>
      </w:r>
      <w:r w:rsidR="00E442B7" w:rsidRPr="00E473DF">
        <w:rPr>
          <w:highlight w:val="yellow"/>
          <w:lang w:val="en-CA"/>
        </w:rPr>
        <w:t>[DETENTION FACILITY]</w:t>
      </w:r>
      <w:r w:rsidR="00E442B7">
        <w:rPr>
          <w:lang w:val="en-CA"/>
        </w:rPr>
        <w:t xml:space="preserve"> </w:t>
      </w:r>
      <w:r w:rsidRPr="00814C24">
        <w:rPr>
          <w:lang w:val="en-CA"/>
        </w:rPr>
        <w:t>amount to cruel, inhuman, or degrading treatment</w:t>
      </w:r>
      <w:r w:rsidR="00B43D2F" w:rsidRPr="00814C24">
        <w:rPr>
          <w:lang w:val="en-CA"/>
        </w:rPr>
        <w:t xml:space="preserve"> </w:t>
      </w:r>
      <w:r w:rsidR="005005E6" w:rsidRPr="00814C24">
        <w:rPr>
          <w:lang w:val="en-CA"/>
        </w:rPr>
        <w:t xml:space="preserve">and violate </w:t>
      </w:r>
      <w:r w:rsidR="005005E6" w:rsidRPr="00814C24">
        <w:rPr>
          <w:highlight w:val="yellow"/>
          <w:lang w:val="en-CA"/>
        </w:rPr>
        <w:t>[CLIENT’s]</w:t>
      </w:r>
      <w:r w:rsidR="005005E6" w:rsidRPr="00814C24">
        <w:rPr>
          <w:lang w:val="en-CA"/>
        </w:rPr>
        <w:t xml:space="preserve"> human rights </w:t>
      </w:r>
      <w:r w:rsidR="00B43D2F" w:rsidRPr="00814C24">
        <w:rPr>
          <w:lang w:val="en-CA"/>
        </w:rPr>
        <w:t xml:space="preserve">under </w:t>
      </w:r>
      <w:r w:rsidR="00302884" w:rsidRPr="00814C24">
        <w:rPr>
          <w:lang w:val="en-CA"/>
        </w:rPr>
        <w:t>ICCPR and the CAT</w:t>
      </w:r>
      <w:r w:rsidR="00B43D2F" w:rsidRPr="00814C24">
        <w:rPr>
          <w:lang w:val="en-CA"/>
        </w:rPr>
        <w:t xml:space="preserve">. See, e.g., </w:t>
      </w:r>
      <w:proofErr w:type="spellStart"/>
      <w:r w:rsidR="00302884" w:rsidRPr="00814C24">
        <w:rPr>
          <w:i/>
          <w:iCs/>
          <w:lang w:val="en-CA"/>
        </w:rPr>
        <w:t>Ltaief</w:t>
      </w:r>
      <w:proofErr w:type="spellEnd"/>
      <w:r w:rsidR="00302884" w:rsidRPr="00814C24">
        <w:rPr>
          <w:i/>
          <w:iCs/>
          <w:lang w:val="en-CA"/>
        </w:rPr>
        <w:t xml:space="preserve"> v. Tunisia</w:t>
      </w:r>
      <w:r w:rsidR="00302884" w:rsidRPr="00814C24">
        <w:rPr>
          <w:lang w:val="en-CA"/>
        </w:rPr>
        <w:t xml:space="preserve">, Comm. No. 189/2001, CAT/C/31/D/189/2001 (2003) </w:t>
      </w:r>
      <w:r w:rsidR="00B43D2F" w:rsidRPr="00814C24">
        <w:rPr>
          <w:lang w:val="en-CA"/>
        </w:rPr>
        <w:t>(finding that prison overcrowding in the context of contagious disease and a lack of medical care amount</w:t>
      </w:r>
      <w:r w:rsidR="00302884" w:rsidRPr="00814C24">
        <w:rPr>
          <w:lang w:val="en-CA"/>
        </w:rPr>
        <w:t>ed</w:t>
      </w:r>
      <w:r w:rsidR="00B43D2F" w:rsidRPr="00814C24">
        <w:rPr>
          <w:lang w:val="en-CA"/>
        </w:rPr>
        <w:t xml:space="preserve"> to</w:t>
      </w:r>
      <w:r w:rsidR="00302884" w:rsidRPr="00814C24">
        <w:rPr>
          <w:lang w:val="en-CA"/>
        </w:rPr>
        <w:t xml:space="preserve"> cruel, inhuman, or degrading treatment);</w:t>
      </w:r>
      <w:r w:rsidR="00785962" w:rsidRPr="00814C24">
        <w:rPr>
          <w:lang w:val="en-CA"/>
        </w:rPr>
        <w:t xml:space="preserve"> </w:t>
      </w:r>
      <w:r w:rsidR="00785962" w:rsidRPr="00814C24">
        <w:rPr>
          <w:i/>
          <w:iCs/>
          <w:lang w:val="en-CA"/>
        </w:rPr>
        <w:t>Cabal v. Australia</w:t>
      </w:r>
      <w:r w:rsidR="00785962" w:rsidRPr="00814C24">
        <w:rPr>
          <w:lang w:val="en-CA"/>
        </w:rPr>
        <w:t xml:space="preserve">, Comm. No. 1020/2001, CCPR/C/78/D/1020/2001 (2003) </w:t>
      </w:r>
      <w:r w:rsidR="00302884" w:rsidRPr="00814C24">
        <w:t>(recognizing that failure to separate detaine</w:t>
      </w:r>
      <w:r w:rsidR="00610B65">
        <w:t>d people</w:t>
      </w:r>
      <w:r w:rsidR="00302884" w:rsidRPr="00814C24">
        <w:t xml:space="preserve"> with communicable diseases from other detaine</w:t>
      </w:r>
      <w:r w:rsidR="00610B65">
        <w:t>d people</w:t>
      </w:r>
      <w:r w:rsidR="00302884" w:rsidRPr="00814C24">
        <w:t xml:space="preserve"> could raise issues under </w:t>
      </w:r>
      <w:r w:rsidR="00785962" w:rsidRPr="00814C24">
        <w:t xml:space="preserve">art. 6, respecting </w:t>
      </w:r>
      <w:r w:rsidR="00302884" w:rsidRPr="00814C24">
        <w:t xml:space="preserve">the right to life, </w:t>
      </w:r>
      <w:r w:rsidR="00785962" w:rsidRPr="00814C24">
        <w:t>and art. 10, concerning the treatment of persons deprived of their liberty,</w:t>
      </w:r>
      <w:r w:rsidR="00302884" w:rsidRPr="00814C24">
        <w:t xml:space="preserve"> which incorporates </w:t>
      </w:r>
      <w:r w:rsidR="00785962" w:rsidRPr="00814C24">
        <w:t>art.</w:t>
      </w:r>
      <w:r w:rsidR="00302884" w:rsidRPr="00814C24">
        <w:t xml:space="preserve"> 7, the prohibition on </w:t>
      </w:r>
      <w:r w:rsidR="00302884" w:rsidRPr="00814C24">
        <w:rPr>
          <w:lang w:val="en-CA"/>
        </w:rPr>
        <w:t>cruel, inhuman, or degrading treatment)</w:t>
      </w:r>
      <w:r w:rsidR="00D41424" w:rsidRPr="00814C24">
        <w:rPr>
          <w:lang w:val="en-CA"/>
        </w:rPr>
        <w:t xml:space="preserve">; </w:t>
      </w:r>
      <w:r w:rsidR="00D41424" w:rsidRPr="00814C24">
        <w:rPr>
          <w:i/>
          <w:iCs/>
        </w:rPr>
        <w:t>Arredondo v. Peru</w:t>
      </w:r>
      <w:r w:rsidR="00D41424" w:rsidRPr="00814C24">
        <w:t>, Comm. No. 688/1996, CCPR/C/69/D/688/1996</w:t>
      </w:r>
      <w:r w:rsidR="00D41424" w:rsidRPr="00814C24">
        <w:rPr>
          <w:i/>
          <w:iCs/>
        </w:rPr>
        <w:t xml:space="preserve"> </w:t>
      </w:r>
      <w:r w:rsidR="00C61BAA" w:rsidRPr="00814C24">
        <w:t xml:space="preserve">(finding that </w:t>
      </w:r>
      <w:r w:rsidR="00D41424" w:rsidRPr="00814C24">
        <w:t>contagious diseases and a lack of medical care</w:t>
      </w:r>
      <w:r w:rsidR="00C61BAA" w:rsidRPr="00814C24">
        <w:t xml:space="preserve"> were among the conditions of confinement constituting a violation of art. 10 and meriting release)</w:t>
      </w:r>
      <w:r w:rsidR="00D41424" w:rsidRPr="00814C24">
        <w:t xml:space="preserve">; </w:t>
      </w:r>
      <w:proofErr w:type="spellStart"/>
      <w:r w:rsidR="00BF3AF6" w:rsidRPr="00814C24">
        <w:rPr>
          <w:i/>
          <w:iCs/>
        </w:rPr>
        <w:t>Uchetov</w:t>
      </w:r>
      <w:proofErr w:type="spellEnd"/>
      <w:r w:rsidR="00BF3AF6" w:rsidRPr="00814C24">
        <w:rPr>
          <w:i/>
          <w:iCs/>
        </w:rPr>
        <w:t xml:space="preserve"> v. Turkmenistan</w:t>
      </w:r>
      <w:r w:rsidR="00BF3AF6" w:rsidRPr="00814C24">
        <w:t>, Comm. No. 2226/2012,</w:t>
      </w:r>
      <w:r w:rsidR="00BF3AF6" w:rsidRPr="00814C24">
        <w:rPr>
          <w:i/>
          <w:iCs/>
        </w:rPr>
        <w:t xml:space="preserve"> </w:t>
      </w:r>
      <w:r w:rsidR="00BF3AF6" w:rsidRPr="00814C24">
        <w:t xml:space="preserve">CCPR/C/117/D/2226/2012 (2016) </w:t>
      </w:r>
      <w:r w:rsidR="00D41424" w:rsidRPr="00814C24">
        <w:t>(finding</w:t>
      </w:r>
      <w:r w:rsidR="00BF3AF6" w:rsidRPr="00814C24">
        <w:t xml:space="preserve"> cruel, inhuman, or degrading treatment based on conditions</w:t>
      </w:r>
      <w:r w:rsidR="00D41424" w:rsidRPr="00814C24">
        <w:t xml:space="preserve"> </w:t>
      </w:r>
      <w:r w:rsidR="00BF3AF6" w:rsidRPr="00814C24">
        <w:t xml:space="preserve">that included an overcrowded prison where </w:t>
      </w:r>
      <w:r w:rsidR="000C527D">
        <w:t>people</w:t>
      </w:r>
      <w:r w:rsidR="000C527D" w:rsidRPr="00814C24">
        <w:t xml:space="preserve"> </w:t>
      </w:r>
      <w:r w:rsidR="00BF3AF6" w:rsidRPr="00814C24">
        <w:t xml:space="preserve">infected with tuberculosis were kept together with healthy </w:t>
      </w:r>
      <w:bookmarkStart w:id="0" w:name="_GoBack"/>
      <w:r w:rsidR="000C527D">
        <w:t>people</w:t>
      </w:r>
      <w:bookmarkEnd w:id="0"/>
      <w:r w:rsidR="00BF3AF6" w:rsidRPr="00814C24">
        <w:t>).</w:t>
      </w:r>
    </w:p>
    <w:p w14:paraId="37247C58" w14:textId="66E5DE46" w:rsidR="00895BFB" w:rsidRPr="00814C24" w:rsidRDefault="00EA7723" w:rsidP="0097796C">
      <w:pPr>
        <w:spacing w:line="480" w:lineRule="auto"/>
        <w:ind w:firstLine="720"/>
      </w:pPr>
      <w:r w:rsidRPr="00814C24">
        <w:t xml:space="preserve">Continuing to detain </w:t>
      </w:r>
      <w:r w:rsidR="005005E6" w:rsidRPr="00814C24">
        <w:rPr>
          <w:highlight w:val="yellow"/>
          <w:lang w:val="en-CA"/>
        </w:rPr>
        <w:t>[CLIENT]</w:t>
      </w:r>
      <w:r w:rsidR="005005E6" w:rsidRPr="00814C24">
        <w:rPr>
          <w:lang w:val="en-CA"/>
        </w:rPr>
        <w:t xml:space="preserve"> </w:t>
      </w:r>
      <w:r w:rsidRPr="00814C24">
        <w:t xml:space="preserve">in </w:t>
      </w:r>
      <w:r w:rsidR="005005E6" w:rsidRPr="00814C24">
        <w:rPr>
          <w:highlight w:val="yellow"/>
          <w:lang w:val="en-CA"/>
        </w:rPr>
        <w:t>[DETENTION FACILTY]</w:t>
      </w:r>
      <w:r w:rsidR="005005E6" w:rsidRPr="00814C24">
        <w:rPr>
          <w:lang w:val="en-CA"/>
        </w:rPr>
        <w:t xml:space="preserve"> </w:t>
      </w:r>
      <w:r w:rsidRPr="00814C24">
        <w:t>amidst th</w:t>
      </w:r>
      <w:r w:rsidR="00BF3AF6" w:rsidRPr="00814C24">
        <w:t>e COVID-19</w:t>
      </w:r>
      <w:r w:rsidRPr="00814C24">
        <w:t xml:space="preserve"> pandemic, without access to proper sanitary measures or adequate health care, </w:t>
      </w:r>
      <w:r w:rsidR="005005E6" w:rsidRPr="00814C24">
        <w:t xml:space="preserve">is a human rights violation requiring </w:t>
      </w:r>
      <w:r w:rsidR="005005E6" w:rsidRPr="00814C24">
        <w:rPr>
          <w:highlight w:val="yellow"/>
        </w:rPr>
        <w:t>[his/her/their]</w:t>
      </w:r>
      <w:r w:rsidR="005005E6" w:rsidRPr="00814C24">
        <w:t xml:space="preserve"> release.</w:t>
      </w:r>
      <w:r w:rsidR="00E442B7">
        <w:t xml:space="preserve"> Indeed, no other action will ensure [his/her/their] rights are protected.</w:t>
      </w:r>
    </w:p>
    <w:p w14:paraId="23630811" w14:textId="688B524A" w:rsidR="0036211C" w:rsidRPr="00D5643A" w:rsidRDefault="00660D84" w:rsidP="00A751CC">
      <w:pPr>
        <w:spacing w:line="480" w:lineRule="auto"/>
        <w:ind w:firstLine="720"/>
      </w:pPr>
      <w:r>
        <w:lastRenderedPageBreak/>
        <w:t>T</w:t>
      </w:r>
      <w:r w:rsidR="00CD0F4C" w:rsidRPr="00814C24">
        <w:t xml:space="preserve">he </w:t>
      </w:r>
      <w:r>
        <w:t>Court should</w:t>
      </w:r>
      <w:r w:rsidRPr="00814C24">
        <w:t xml:space="preserve"> </w:t>
      </w:r>
      <w:r w:rsidR="00CD0F4C" w:rsidRPr="00814C24">
        <w:t>take these international obligations into account when determining if there is a “compelling reason” for release under § 3142(</w:t>
      </w:r>
      <w:proofErr w:type="spellStart"/>
      <w:r w:rsidR="00CD0F4C" w:rsidRPr="00814C24">
        <w:t>i</w:t>
      </w:r>
      <w:proofErr w:type="spellEnd"/>
      <w:r w:rsidR="00CD0F4C" w:rsidRPr="00814C24">
        <w:t xml:space="preserve">). </w:t>
      </w:r>
      <w:r w:rsidR="009335E4">
        <w:t>C</w:t>
      </w:r>
      <w:r w:rsidR="00CD0F4C" w:rsidRPr="00814C24">
        <w:t xml:space="preserve">ourts </w:t>
      </w:r>
      <w:r w:rsidR="002C7324" w:rsidRPr="00814C24">
        <w:t>should</w:t>
      </w:r>
      <w:r w:rsidR="00CD0F4C" w:rsidRPr="00814C24">
        <w:t xml:space="preserve"> interpret any ambiguous statutes to accord with treaty obligations and customary international law. </w:t>
      </w:r>
      <w:r w:rsidR="00CD0F4C" w:rsidRPr="00814C24">
        <w:rPr>
          <w:i/>
          <w:iCs/>
        </w:rPr>
        <w:t xml:space="preserve">See </w:t>
      </w:r>
      <w:r w:rsidR="00CD0F4C" w:rsidRPr="00814C24">
        <w:rPr>
          <w:i/>
          <w:iCs/>
          <w:color w:val="000000"/>
        </w:rPr>
        <w:t>Murray v. Schooner Charming Betsy</w:t>
      </w:r>
      <w:r w:rsidR="00CD0F4C" w:rsidRPr="00814C24">
        <w:rPr>
          <w:color w:val="000000"/>
        </w:rPr>
        <w:t xml:space="preserve">, 6 U.S. 64, 118 (1804) (“[A]n act of Congress ought never to be construed to violate the law of nations if any other possible construction remains”); </w:t>
      </w:r>
      <w:r w:rsidR="00CD0F4C" w:rsidRPr="00814C24">
        <w:rPr>
          <w:i/>
          <w:iCs/>
          <w:color w:val="000000"/>
        </w:rPr>
        <w:t>see also</w:t>
      </w:r>
      <w:r w:rsidR="00CD0F4C" w:rsidRPr="00814C24">
        <w:rPr>
          <w:color w:val="000000"/>
        </w:rPr>
        <w:t xml:space="preserve"> </w:t>
      </w:r>
      <w:r w:rsidR="00CD0F4C" w:rsidRPr="00814C24">
        <w:rPr>
          <w:i/>
          <w:iCs/>
          <w:color w:val="000000"/>
        </w:rPr>
        <w:t xml:space="preserve">Rebecca </w:t>
      </w:r>
      <w:proofErr w:type="spellStart"/>
      <w:r w:rsidR="00CD0F4C" w:rsidRPr="00814C24">
        <w:rPr>
          <w:i/>
          <w:iCs/>
          <w:color w:val="000000"/>
        </w:rPr>
        <w:t>Crootof</w:t>
      </w:r>
      <w:proofErr w:type="spellEnd"/>
      <w:r w:rsidR="00CD0F4C" w:rsidRPr="00814C24">
        <w:rPr>
          <w:color w:val="000000"/>
        </w:rPr>
        <w:t xml:space="preserve">, </w:t>
      </w:r>
      <w:r w:rsidR="00CD0F4C" w:rsidRPr="00814C24">
        <w:rPr>
          <w:smallCaps/>
          <w:color w:val="000000"/>
        </w:rPr>
        <w:t>Judicious Influence: Non-Self-Executing Treaties and the Charming Betsy Canon</w:t>
      </w:r>
      <w:r w:rsidR="00CD0F4C" w:rsidRPr="00814C24">
        <w:rPr>
          <w:color w:val="000000"/>
        </w:rPr>
        <w:t xml:space="preserve">, 120 Yale L.J. 1784, 1792 (2011) (“The </w:t>
      </w:r>
      <w:r w:rsidR="00CD0F4C" w:rsidRPr="00814C24">
        <w:rPr>
          <w:color w:val="000000"/>
          <w:shd w:val="clear" w:color="auto" w:fill="FFFFFF"/>
        </w:rPr>
        <w:t>Charming</w:t>
      </w:r>
      <w:r w:rsidR="00CD0F4C" w:rsidRPr="00814C24">
        <w:rPr>
          <w:color w:val="000000"/>
        </w:rPr>
        <w:t xml:space="preserve"> Betsy canon … shields customary international law and treaties from being unintentionally overwritten by apparently contradictory statutes with multiple fairly possible interpretations.”). Here, the </w:t>
      </w:r>
      <w:r w:rsidR="009335E4">
        <w:rPr>
          <w:i/>
          <w:iCs/>
          <w:color w:val="000000"/>
        </w:rPr>
        <w:t xml:space="preserve">Charming Betsy </w:t>
      </w:r>
      <w:r w:rsidR="00CD0F4C" w:rsidRPr="00814C24">
        <w:rPr>
          <w:color w:val="000000"/>
        </w:rPr>
        <w:t xml:space="preserve">doctrine weighs heavily in favor of releasing </w:t>
      </w:r>
      <w:r w:rsidR="002C7324" w:rsidRPr="00814C24">
        <w:rPr>
          <w:color w:val="000000"/>
        </w:rPr>
        <w:t>people currently detained</w:t>
      </w:r>
      <w:r w:rsidR="00CD0F4C" w:rsidRPr="00814C24">
        <w:rPr>
          <w:color w:val="000000"/>
        </w:rPr>
        <w:t xml:space="preserve">. </w:t>
      </w:r>
      <w:r w:rsidR="002C7324" w:rsidRPr="00814C24">
        <w:rPr>
          <w:color w:val="000000"/>
        </w:rPr>
        <w:t xml:space="preserve">A violation of international human rights obligations is most certainly a “compelling reason” </w:t>
      </w:r>
      <w:r w:rsidR="002C7324" w:rsidRPr="00814C24">
        <w:t>under § 3142(</w:t>
      </w:r>
      <w:proofErr w:type="spellStart"/>
      <w:r w:rsidR="002C7324" w:rsidRPr="00814C24">
        <w:t>i</w:t>
      </w:r>
      <w:proofErr w:type="spellEnd"/>
      <w:r w:rsidR="002C7324" w:rsidRPr="00814C24">
        <w:t xml:space="preserve">), as is </w:t>
      </w:r>
      <w:r w:rsidR="00956B81" w:rsidRPr="00814C24">
        <w:t xml:space="preserve">the </w:t>
      </w:r>
      <w:r w:rsidR="002C7324" w:rsidRPr="00814C24">
        <w:t xml:space="preserve">serious illness or death </w:t>
      </w:r>
      <w:r w:rsidR="002C7324" w:rsidRPr="00814C24">
        <w:rPr>
          <w:highlight w:val="yellow"/>
          <w:lang w:val="en-CA"/>
        </w:rPr>
        <w:t>[CLIENT]</w:t>
      </w:r>
      <w:r w:rsidR="002C7324" w:rsidRPr="00814C24">
        <w:rPr>
          <w:lang w:val="en-CA"/>
        </w:rPr>
        <w:t xml:space="preserve"> should this court not order </w:t>
      </w:r>
      <w:r w:rsidR="002C7324" w:rsidRPr="00814C24">
        <w:rPr>
          <w:highlight w:val="yellow"/>
        </w:rPr>
        <w:t>[his/her/their]</w:t>
      </w:r>
      <w:r w:rsidR="002C7324" w:rsidRPr="00814C24">
        <w:t xml:space="preserve"> release.</w:t>
      </w:r>
    </w:p>
    <w:p w14:paraId="0720C791" w14:textId="717A0C38" w:rsidR="00F573A2" w:rsidRPr="00814C24" w:rsidRDefault="00F573A2" w:rsidP="0097795C">
      <w:pPr>
        <w:pStyle w:val="NoSpacing"/>
        <w:jc w:val="center"/>
        <w:rPr>
          <w:b/>
          <w:sz w:val="24"/>
          <w:szCs w:val="24"/>
          <w:u w:val="single"/>
        </w:rPr>
      </w:pPr>
      <w:r w:rsidRPr="00814C24">
        <w:rPr>
          <w:b/>
          <w:sz w:val="24"/>
          <w:szCs w:val="24"/>
          <w:u w:val="single"/>
        </w:rPr>
        <w:t>Conditions</w:t>
      </w:r>
      <w:r w:rsidR="004D6ED0" w:rsidRPr="00814C24">
        <w:rPr>
          <w:b/>
          <w:sz w:val="24"/>
          <w:szCs w:val="24"/>
          <w:u w:val="single"/>
        </w:rPr>
        <w:t xml:space="preserve"> of Release</w:t>
      </w:r>
      <w:r w:rsidRPr="00814C24">
        <w:rPr>
          <w:b/>
          <w:sz w:val="24"/>
          <w:szCs w:val="24"/>
          <w:u w:val="single"/>
        </w:rPr>
        <w:t xml:space="preserve"> Are Available That Allow </w:t>
      </w:r>
      <w:r w:rsidR="006D4702" w:rsidRPr="00E473DF">
        <w:rPr>
          <w:b/>
          <w:sz w:val="24"/>
          <w:szCs w:val="24"/>
          <w:highlight w:val="yellow"/>
          <w:u w:val="single"/>
        </w:rPr>
        <w:t>[CLIENT]</w:t>
      </w:r>
      <w:r w:rsidR="004D6ED0" w:rsidRPr="00814C24">
        <w:rPr>
          <w:b/>
          <w:sz w:val="24"/>
          <w:szCs w:val="24"/>
          <w:u w:val="single"/>
        </w:rPr>
        <w:t xml:space="preserve"> To Be Treated Humanely</w:t>
      </w:r>
      <w:r w:rsidR="006D4702" w:rsidRPr="00814C24">
        <w:rPr>
          <w:b/>
          <w:sz w:val="24"/>
          <w:szCs w:val="24"/>
          <w:u w:val="single"/>
        </w:rPr>
        <w:t xml:space="preserve"> </w:t>
      </w:r>
      <w:r w:rsidRPr="00814C24">
        <w:rPr>
          <w:b/>
          <w:sz w:val="24"/>
          <w:szCs w:val="24"/>
          <w:u w:val="single"/>
        </w:rPr>
        <w:t>While Also Ameliorating Any Danger To The Community</w:t>
      </w:r>
    </w:p>
    <w:p w14:paraId="0F94C9DD" w14:textId="77777777" w:rsidR="00BE6DC8" w:rsidRPr="00814C24" w:rsidRDefault="00BE6DC8" w:rsidP="00BE6DC8">
      <w:pPr>
        <w:pStyle w:val="NoSpacing"/>
        <w:rPr>
          <w:b/>
          <w:sz w:val="24"/>
          <w:szCs w:val="24"/>
        </w:rPr>
      </w:pPr>
    </w:p>
    <w:p w14:paraId="51018D8E" w14:textId="76131FEE" w:rsidR="00D16E78" w:rsidRPr="00814C24" w:rsidRDefault="00A266B9" w:rsidP="00F573A2">
      <w:pPr>
        <w:pStyle w:val="NoSpacing"/>
        <w:spacing w:line="480" w:lineRule="auto"/>
        <w:ind w:firstLine="720"/>
        <w:rPr>
          <w:b/>
          <w:sz w:val="24"/>
          <w:szCs w:val="24"/>
        </w:rPr>
      </w:pPr>
      <w:r w:rsidRPr="00814C24">
        <w:rPr>
          <w:sz w:val="24"/>
          <w:szCs w:val="24"/>
        </w:rPr>
        <w:t xml:space="preserve">From </w:t>
      </w:r>
      <w:r w:rsidR="00311B0F" w:rsidRPr="00814C24">
        <w:rPr>
          <w:sz w:val="24"/>
          <w:szCs w:val="24"/>
          <w:highlight w:val="yellow"/>
        </w:rPr>
        <w:t>[CLIENT’s]</w:t>
      </w:r>
      <w:r w:rsidRPr="00814C24">
        <w:rPr>
          <w:sz w:val="24"/>
          <w:szCs w:val="24"/>
        </w:rPr>
        <w:t xml:space="preserve"> perspective</w:t>
      </w:r>
      <w:r w:rsidR="00E40875">
        <w:rPr>
          <w:sz w:val="24"/>
          <w:szCs w:val="24"/>
        </w:rPr>
        <w:t>,</w:t>
      </w:r>
      <w:r w:rsidRPr="00814C24">
        <w:rPr>
          <w:sz w:val="24"/>
          <w:szCs w:val="24"/>
        </w:rPr>
        <w:t xml:space="preserve"> </w:t>
      </w:r>
      <w:r w:rsidR="00E40875" w:rsidRPr="00814C24">
        <w:rPr>
          <w:sz w:val="24"/>
          <w:szCs w:val="24"/>
          <w:highlight w:val="yellow"/>
        </w:rPr>
        <w:t>[his/her/their]</w:t>
      </w:r>
      <w:r w:rsidR="00E40875" w:rsidRPr="00814C24">
        <w:rPr>
          <w:sz w:val="24"/>
          <w:szCs w:val="24"/>
        </w:rPr>
        <w:t xml:space="preserve"> </w:t>
      </w:r>
      <w:r w:rsidRPr="00814C24">
        <w:rPr>
          <w:sz w:val="24"/>
          <w:szCs w:val="24"/>
        </w:rPr>
        <w:t xml:space="preserve">life—not only </w:t>
      </w:r>
      <w:r w:rsidR="00E40875" w:rsidRPr="00814C24">
        <w:rPr>
          <w:sz w:val="24"/>
          <w:szCs w:val="24"/>
          <w:highlight w:val="yellow"/>
        </w:rPr>
        <w:t>[his/her/their]</w:t>
      </w:r>
      <w:r w:rsidR="00E40875" w:rsidRPr="00814C24">
        <w:rPr>
          <w:sz w:val="24"/>
          <w:szCs w:val="24"/>
        </w:rPr>
        <w:t xml:space="preserve"> </w:t>
      </w:r>
      <w:r w:rsidRPr="00814C24">
        <w:rPr>
          <w:sz w:val="24"/>
          <w:szCs w:val="24"/>
        </w:rPr>
        <w:t>liberty—is on the line, creating a powerful incentive to abide by any release conditions the Court may impose</w:t>
      </w:r>
      <w:r w:rsidR="00D16E78" w:rsidRPr="00814C24">
        <w:rPr>
          <w:sz w:val="24"/>
          <w:szCs w:val="24"/>
        </w:rPr>
        <w:t xml:space="preserve"> and changing the calculus that initially led to the denial of bail in this case</w:t>
      </w:r>
      <w:r w:rsidRPr="00814C24">
        <w:rPr>
          <w:sz w:val="24"/>
          <w:szCs w:val="24"/>
        </w:rPr>
        <w:t>.</w:t>
      </w:r>
      <w:r w:rsidR="00BE6DC8" w:rsidRPr="00814C24">
        <w:rPr>
          <w:sz w:val="24"/>
          <w:szCs w:val="24"/>
        </w:rPr>
        <w:t xml:space="preserve"> </w:t>
      </w:r>
      <w:r w:rsidR="004D6ED0" w:rsidRPr="00814C24">
        <w:rPr>
          <w:sz w:val="24"/>
          <w:szCs w:val="24"/>
        </w:rPr>
        <w:t xml:space="preserve"> </w:t>
      </w:r>
      <w:r w:rsidR="00D16E78" w:rsidRPr="00814C24">
        <w:rPr>
          <w:b/>
          <w:sz w:val="24"/>
          <w:szCs w:val="24"/>
          <w:highlight w:val="yellow"/>
        </w:rPr>
        <w:t>[address specific concerns that led client to be detained]</w:t>
      </w:r>
    </w:p>
    <w:p w14:paraId="298CAFE3" w14:textId="0A85FB7D" w:rsidR="00515AEB" w:rsidRPr="00814C24" w:rsidRDefault="00311B0F" w:rsidP="00DA1308">
      <w:pPr>
        <w:pStyle w:val="NoSpacing"/>
        <w:spacing w:line="480" w:lineRule="auto"/>
        <w:ind w:firstLine="720"/>
        <w:rPr>
          <w:sz w:val="24"/>
          <w:szCs w:val="24"/>
        </w:rPr>
      </w:pPr>
      <w:r w:rsidRPr="00814C24">
        <w:rPr>
          <w:sz w:val="24"/>
          <w:szCs w:val="24"/>
          <w:highlight w:val="yellow"/>
        </w:rPr>
        <w:t>OUTLINE CONDITIONS UNDER WHICH CLIENT WILL BE RELEASED</w:t>
      </w:r>
      <w:r w:rsidRPr="00814C24">
        <w:rPr>
          <w:sz w:val="24"/>
          <w:szCs w:val="24"/>
        </w:rPr>
        <w:t>: including residence plan and release conditions.</w:t>
      </w:r>
      <w:r w:rsidR="00515AEB" w:rsidRPr="00814C24">
        <w:rPr>
          <w:sz w:val="24"/>
          <w:szCs w:val="24"/>
        </w:rPr>
        <w:t xml:space="preserve"> Acco</w:t>
      </w:r>
      <w:r w:rsidR="00660D84">
        <w:rPr>
          <w:sz w:val="24"/>
          <w:szCs w:val="24"/>
        </w:rPr>
        <w:t>r</w:t>
      </w:r>
      <w:r w:rsidR="00515AEB" w:rsidRPr="00814C24">
        <w:rPr>
          <w:sz w:val="24"/>
          <w:szCs w:val="24"/>
        </w:rPr>
        <w:t>ding to the UN High Commissioner for Human Rights, “When people are released, they should be medically screened and measures taken to ensure that if needed they receive care and proper follow-up, including health monitoring.”</w:t>
      </w:r>
      <w:r w:rsidR="00515AEB" w:rsidRPr="00814C24">
        <w:rPr>
          <w:rStyle w:val="FootnoteReference"/>
          <w:sz w:val="24"/>
          <w:szCs w:val="24"/>
        </w:rPr>
        <w:footnoteReference w:id="37"/>
      </w:r>
    </w:p>
    <w:p w14:paraId="524C67EF" w14:textId="4C2D0D97" w:rsidR="004D6ED0" w:rsidRPr="00814C24" w:rsidRDefault="00515AEB" w:rsidP="00F573A2">
      <w:pPr>
        <w:pStyle w:val="NoSpacing"/>
        <w:spacing w:line="480" w:lineRule="auto"/>
        <w:ind w:firstLine="720"/>
        <w:rPr>
          <w:sz w:val="24"/>
          <w:szCs w:val="24"/>
        </w:rPr>
      </w:pPr>
      <w:r w:rsidRPr="00814C24">
        <w:rPr>
          <w:sz w:val="24"/>
          <w:szCs w:val="24"/>
          <w:highlight w:val="yellow"/>
        </w:rPr>
        <w:lastRenderedPageBreak/>
        <w:t>[CLIENT]</w:t>
      </w:r>
      <w:r w:rsidRPr="00814C24">
        <w:rPr>
          <w:sz w:val="24"/>
          <w:szCs w:val="24"/>
        </w:rPr>
        <w:t xml:space="preserve"> </w:t>
      </w:r>
      <w:r w:rsidR="001E46D6" w:rsidRPr="00814C24">
        <w:rPr>
          <w:sz w:val="24"/>
          <w:szCs w:val="24"/>
        </w:rPr>
        <w:t>pose</w:t>
      </w:r>
      <w:r w:rsidRPr="00814C24">
        <w:rPr>
          <w:sz w:val="24"/>
          <w:szCs w:val="24"/>
        </w:rPr>
        <w:t>s</w:t>
      </w:r>
      <w:r w:rsidR="001E46D6" w:rsidRPr="00814C24">
        <w:rPr>
          <w:sz w:val="24"/>
          <w:szCs w:val="24"/>
        </w:rPr>
        <w:t xml:space="preserve"> a lower risk of violating supervision, particularly during a global pandemic during which even leaving the house will endanger </w:t>
      </w:r>
      <w:r w:rsidRPr="00814C24">
        <w:rPr>
          <w:sz w:val="24"/>
          <w:szCs w:val="24"/>
          <w:highlight w:val="yellow"/>
        </w:rPr>
        <w:t>[his/her/their]</w:t>
      </w:r>
      <w:r w:rsidR="001E46D6" w:rsidRPr="00814C24">
        <w:rPr>
          <w:sz w:val="24"/>
          <w:szCs w:val="24"/>
        </w:rPr>
        <w:t xml:space="preserve"> li</w:t>
      </w:r>
      <w:r w:rsidRPr="00814C24">
        <w:rPr>
          <w:sz w:val="24"/>
          <w:szCs w:val="24"/>
        </w:rPr>
        <w:t>fe</w:t>
      </w:r>
      <w:r w:rsidR="001E46D6" w:rsidRPr="00814C24">
        <w:rPr>
          <w:sz w:val="24"/>
          <w:szCs w:val="24"/>
        </w:rPr>
        <w:t>.</w:t>
      </w:r>
    </w:p>
    <w:p w14:paraId="18795411" w14:textId="0ED4D315" w:rsidR="004D6ED0" w:rsidRPr="00814C24" w:rsidRDefault="004D6ED0" w:rsidP="004D6ED0">
      <w:pPr>
        <w:pStyle w:val="NoSpacing"/>
        <w:spacing w:line="480" w:lineRule="auto"/>
        <w:jc w:val="center"/>
        <w:rPr>
          <w:sz w:val="24"/>
          <w:szCs w:val="24"/>
        </w:rPr>
      </w:pPr>
      <w:r w:rsidRPr="00814C24">
        <w:rPr>
          <w:b/>
          <w:sz w:val="24"/>
          <w:szCs w:val="24"/>
          <w:u w:val="single"/>
        </w:rPr>
        <w:t>Conclusion</w:t>
      </w:r>
    </w:p>
    <w:p w14:paraId="54BAF51D" w14:textId="5822E1C7" w:rsidR="00BC5A55" w:rsidRPr="00814C24" w:rsidRDefault="004D6ED0" w:rsidP="00B36902">
      <w:pPr>
        <w:pStyle w:val="NoSpacing"/>
        <w:spacing w:line="480" w:lineRule="auto"/>
        <w:rPr>
          <w:sz w:val="24"/>
          <w:szCs w:val="24"/>
        </w:rPr>
      </w:pPr>
      <w:r w:rsidRPr="00814C24">
        <w:rPr>
          <w:sz w:val="24"/>
          <w:szCs w:val="24"/>
        </w:rPr>
        <w:tab/>
      </w:r>
      <w:r w:rsidR="00311B0F" w:rsidRPr="00814C24">
        <w:rPr>
          <w:sz w:val="24"/>
          <w:szCs w:val="24"/>
          <w:highlight w:val="yellow"/>
        </w:rPr>
        <w:t>[CLIENT]</w:t>
      </w:r>
      <w:r w:rsidRPr="00814C24">
        <w:rPr>
          <w:sz w:val="24"/>
          <w:szCs w:val="24"/>
        </w:rPr>
        <w:t xml:space="preserve"> is among the vulnerable population at heightened risk of getting very sick from this illness.  For all of the above reasons, </w:t>
      </w:r>
      <w:r w:rsidR="00311B0F" w:rsidRPr="00814C24">
        <w:rPr>
          <w:sz w:val="24"/>
          <w:szCs w:val="24"/>
          <w:highlight w:val="yellow"/>
        </w:rPr>
        <w:t>[CLIENT</w:t>
      </w:r>
      <w:r w:rsidR="00311B0F" w:rsidRPr="00814C24">
        <w:rPr>
          <w:sz w:val="24"/>
          <w:szCs w:val="24"/>
        </w:rPr>
        <w:t>]</w:t>
      </w:r>
      <w:r w:rsidRPr="00814C24">
        <w:rPr>
          <w:sz w:val="24"/>
          <w:szCs w:val="24"/>
        </w:rPr>
        <w:t xml:space="preserve">should be granted release on bond.  </w:t>
      </w:r>
    </w:p>
    <w:p w14:paraId="0CAE65FD" w14:textId="77777777" w:rsidR="007D3120" w:rsidRPr="00814C24" w:rsidRDefault="007D3120" w:rsidP="00B36902">
      <w:pPr>
        <w:pStyle w:val="NoSpacing"/>
        <w:spacing w:line="480" w:lineRule="auto"/>
        <w:rPr>
          <w:sz w:val="24"/>
          <w:szCs w:val="24"/>
        </w:rPr>
      </w:pPr>
    </w:p>
    <w:p w14:paraId="38AB634E" w14:textId="791A9466" w:rsidR="004D6ED0" w:rsidRPr="00814C24" w:rsidRDefault="004D6ED0" w:rsidP="000449F8">
      <w:pPr>
        <w:pStyle w:val="NoSpacing"/>
        <w:rPr>
          <w:sz w:val="24"/>
          <w:szCs w:val="24"/>
        </w:rPr>
      </w:pPr>
      <w:r w:rsidRPr="00814C24">
        <w:rPr>
          <w:sz w:val="24"/>
          <w:szCs w:val="24"/>
        </w:rPr>
        <w:tab/>
      </w:r>
      <w:r w:rsidRPr="00814C24">
        <w:rPr>
          <w:sz w:val="24"/>
          <w:szCs w:val="24"/>
        </w:rPr>
        <w:tab/>
      </w:r>
      <w:r w:rsidRPr="00814C24">
        <w:rPr>
          <w:sz w:val="24"/>
          <w:szCs w:val="24"/>
        </w:rPr>
        <w:tab/>
      </w:r>
      <w:r w:rsidRPr="00814C24">
        <w:rPr>
          <w:sz w:val="24"/>
          <w:szCs w:val="24"/>
        </w:rPr>
        <w:tab/>
      </w:r>
      <w:r w:rsidRPr="00814C24">
        <w:rPr>
          <w:sz w:val="24"/>
          <w:szCs w:val="24"/>
        </w:rPr>
        <w:tab/>
      </w:r>
      <w:r w:rsidRPr="00814C24">
        <w:rPr>
          <w:sz w:val="24"/>
          <w:szCs w:val="24"/>
        </w:rPr>
        <w:tab/>
      </w:r>
      <w:r w:rsidRPr="00814C24">
        <w:rPr>
          <w:sz w:val="24"/>
          <w:szCs w:val="24"/>
        </w:rPr>
        <w:tab/>
        <w:t>Respectfully submitted,</w:t>
      </w:r>
    </w:p>
    <w:p w14:paraId="5B2A9D7D" w14:textId="77777777" w:rsidR="000449F8" w:rsidRPr="00814C24" w:rsidRDefault="000449F8" w:rsidP="000449F8">
      <w:pPr>
        <w:pStyle w:val="NoSpacing"/>
        <w:rPr>
          <w:sz w:val="24"/>
          <w:szCs w:val="24"/>
        </w:rPr>
      </w:pPr>
    </w:p>
    <w:p w14:paraId="671204DA" w14:textId="7B06F48E" w:rsidR="000449F8" w:rsidRPr="00814C24" w:rsidRDefault="004D6ED0" w:rsidP="00A52ACC">
      <w:pPr>
        <w:pStyle w:val="NoSpacing"/>
        <w:rPr>
          <w:sz w:val="24"/>
          <w:szCs w:val="24"/>
        </w:rPr>
      </w:pPr>
      <w:r w:rsidRPr="00814C24">
        <w:rPr>
          <w:sz w:val="24"/>
          <w:szCs w:val="24"/>
        </w:rPr>
        <w:tab/>
      </w:r>
      <w:r w:rsidRPr="00814C24">
        <w:rPr>
          <w:sz w:val="24"/>
          <w:szCs w:val="24"/>
        </w:rPr>
        <w:tab/>
      </w:r>
      <w:r w:rsidRPr="00814C24">
        <w:rPr>
          <w:sz w:val="24"/>
          <w:szCs w:val="24"/>
        </w:rPr>
        <w:tab/>
      </w:r>
      <w:r w:rsidRPr="00814C24">
        <w:rPr>
          <w:sz w:val="24"/>
          <w:szCs w:val="24"/>
        </w:rPr>
        <w:tab/>
      </w:r>
      <w:r w:rsidRPr="00814C24">
        <w:rPr>
          <w:sz w:val="24"/>
          <w:szCs w:val="24"/>
        </w:rPr>
        <w:tab/>
      </w:r>
      <w:r w:rsidRPr="00814C24">
        <w:rPr>
          <w:sz w:val="24"/>
          <w:szCs w:val="24"/>
        </w:rPr>
        <w:tab/>
      </w:r>
      <w:r w:rsidRPr="00814C24">
        <w:rPr>
          <w:sz w:val="24"/>
          <w:szCs w:val="24"/>
        </w:rPr>
        <w:tab/>
      </w:r>
      <w:r w:rsidR="000449F8" w:rsidRPr="00814C24">
        <w:rPr>
          <w:sz w:val="24"/>
          <w:szCs w:val="24"/>
        </w:rPr>
        <w:tab/>
      </w:r>
      <w:r w:rsidR="000449F8" w:rsidRPr="00814C24">
        <w:rPr>
          <w:sz w:val="24"/>
          <w:szCs w:val="24"/>
        </w:rPr>
        <w:tab/>
      </w:r>
      <w:r w:rsidR="000449F8" w:rsidRPr="00814C24">
        <w:rPr>
          <w:sz w:val="24"/>
          <w:szCs w:val="24"/>
        </w:rPr>
        <w:tab/>
      </w:r>
      <w:r w:rsidR="000449F8" w:rsidRPr="00814C24">
        <w:rPr>
          <w:sz w:val="24"/>
          <w:szCs w:val="24"/>
        </w:rPr>
        <w:tab/>
        <w:t xml:space="preserve"> </w:t>
      </w:r>
    </w:p>
    <w:sectPr w:rsidR="000449F8" w:rsidRPr="00814C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319B5" w14:textId="77777777" w:rsidR="00C770BD" w:rsidRDefault="00C770BD" w:rsidP="009900C4">
      <w:r>
        <w:separator/>
      </w:r>
    </w:p>
  </w:endnote>
  <w:endnote w:type="continuationSeparator" w:id="0">
    <w:p w14:paraId="0FF65C03" w14:textId="77777777" w:rsidR="00C770BD" w:rsidRDefault="00C770BD" w:rsidP="0099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965372"/>
      <w:docPartObj>
        <w:docPartGallery w:val="Page Numbers (Bottom of Page)"/>
        <w:docPartUnique/>
      </w:docPartObj>
    </w:sdtPr>
    <w:sdtEndPr>
      <w:rPr>
        <w:noProof/>
        <w:sz w:val="24"/>
        <w:szCs w:val="24"/>
      </w:rPr>
    </w:sdtEndPr>
    <w:sdtContent>
      <w:p w14:paraId="20CE40CD" w14:textId="50DDF579" w:rsidR="002C33FD" w:rsidRPr="0097795C" w:rsidRDefault="002C33FD">
        <w:pPr>
          <w:pStyle w:val="Footer"/>
          <w:jc w:val="center"/>
          <w:rPr>
            <w:sz w:val="24"/>
            <w:szCs w:val="24"/>
          </w:rPr>
        </w:pPr>
        <w:r w:rsidRPr="0097795C">
          <w:rPr>
            <w:sz w:val="24"/>
            <w:szCs w:val="24"/>
          </w:rPr>
          <w:fldChar w:fldCharType="begin"/>
        </w:r>
        <w:r w:rsidRPr="0097795C">
          <w:rPr>
            <w:sz w:val="24"/>
            <w:szCs w:val="24"/>
          </w:rPr>
          <w:instrText xml:space="preserve"> PAGE   \* MERGEFORMAT </w:instrText>
        </w:r>
        <w:r w:rsidRPr="0097795C">
          <w:rPr>
            <w:sz w:val="24"/>
            <w:szCs w:val="24"/>
          </w:rPr>
          <w:fldChar w:fldCharType="separate"/>
        </w:r>
        <w:r w:rsidR="00E442B7">
          <w:rPr>
            <w:noProof/>
            <w:sz w:val="24"/>
            <w:szCs w:val="24"/>
          </w:rPr>
          <w:t>15</w:t>
        </w:r>
        <w:r w:rsidRPr="0097795C">
          <w:rPr>
            <w:noProof/>
            <w:sz w:val="24"/>
            <w:szCs w:val="24"/>
          </w:rPr>
          <w:fldChar w:fldCharType="end"/>
        </w:r>
      </w:p>
    </w:sdtContent>
  </w:sdt>
  <w:p w14:paraId="7EA67C76" w14:textId="77777777" w:rsidR="002C33FD" w:rsidRDefault="002C33F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E225F" w14:textId="77777777" w:rsidR="00C770BD" w:rsidRDefault="00C770BD" w:rsidP="009900C4">
      <w:r>
        <w:separator/>
      </w:r>
    </w:p>
  </w:footnote>
  <w:footnote w:type="continuationSeparator" w:id="0">
    <w:p w14:paraId="225440B2" w14:textId="77777777" w:rsidR="00C770BD" w:rsidRDefault="00C770BD" w:rsidP="009900C4">
      <w:r>
        <w:continuationSeparator/>
      </w:r>
    </w:p>
  </w:footnote>
  <w:footnote w:id="1">
    <w:p w14:paraId="4BD7F5E8" w14:textId="7CAC59C8" w:rsidR="002C33FD" w:rsidRPr="009F2B53" w:rsidRDefault="002C33FD">
      <w:pPr>
        <w:pStyle w:val="FootnoteText"/>
        <w:rPr>
          <w:sz w:val="24"/>
          <w:szCs w:val="24"/>
        </w:rPr>
      </w:pPr>
      <w:r w:rsidRPr="009F2B53">
        <w:rPr>
          <w:rStyle w:val="FootnoteReference"/>
          <w:sz w:val="24"/>
          <w:szCs w:val="24"/>
        </w:rPr>
        <w:footnoteRef/>
      </w:r>
      <w:r w:rsidRPr="009F2B53">
        <w:rPr>
          <w:sz w:val="24"/>
          <w:szCs w:val="24"/>
        </w:rPr>
        <w:t xml:space="preserve"> </w:t>
      </w:r>
      <w:r w:rsidRPr="009F2B53">
        <w:rPr>
          <w:i/>
          <w:iCs/>
          <w:sz w:val="24"/>
          <w:szCs w:val="24"/>
        </w:rPr>
        <w:t>WHO Characterizes COVID-19 as a Pandemic</w:t>
      </w:r>
      <w:r w:rsidRPr="009F2B53">
        <w:rPr>
          <w:sz w:val="24"/>
          <w:szCs w:val="24"/>
        </w:rPr>
        <w:t xml:space="preserve">, World Health Organization (Mar. 11, 2020), </w:t>
      </w:r>
      <w:proofErr w:type="gramStart"/>
      <w:r w:rsidRPr="009F2B53">
        <w:rPr>
          <w:sz w:val="24"/>
          <w:szCs w:val="24"/>
        </w:rPr>
        <w:t xml:space="preserve">at </w:t>
      </w:r>
      <w:r w:rsidRPr="009F2B53">
        <w:rPr>
          <w:color w:val="0000FF"/>
          <w:sz w:val="24"/>
          <w:szCs w:val="24"/>
        </w:rPr>
        <w:t>https://bit.ly/2W8dwpS</w:t>
      </w:r>
      <w:r w:rsidRPr="009F2B53">
        <w:rPr>
          <w:sz w:val="24"/>
          <w:szCs w:val="24"/>
        </w:rPr>
        <w:t>.</w:t>
      </w:r>
      <w:proofErr w:type="gramEnd"/>
      <w:r w:rsidRPr="009F2B53">
        <w:rPr>
          <w:sz w:val="24"/>
          <w:szCs w:val="24"/>
        </w:rPr>
        <w:t xml:space="preserve">  </w:t>
      </w:r>
    </w:p>
  </w:footnote>
  <w:footnote w:id="2">
    <w:p w14:paraId="1E6A58B6" w14:textId="6B05E89E" w:rsidR="002C33FD" w:rsidRPr="009F2B53" w:rsidRDefault="002C33FD">
      <w:pPr>
        <w:pStyle w:val="FootnoteText"/>
        <w:rPr>
          <w:sz w:val="24"/>
          <w:szCs w:val="24"/>
        </w:rPr>
      </w:pPr>
      <w:r w:rsidRPr="009F2B53">
        <w:rPr>
          <w:rStyle w:val="FootnoteReference"/>
          <w:sz w:val="24"/>
          <w:szCs w:val="24"/>
        </w:rPr>
        <w:footnoteRef/>
      </w:r>
      <w:r w:rsidRPr="009F2B53">
        <w:rPr>
          <w:sz w:val="24"/>
          <w:szCs w:val="24"/>
        </w:rPr>
        <w:t xml:space="preserve"> </w:t>
      </w:r>
      <w:r w:rsidRPr="009F2B53">
        <w:rPr>
          <w:i/>
          <w:iCs/>
          <w:sz w:val="24"/>
          <w:szCs w:val="24"/>
        </w:rPr>
        <w:t>First Patient With Wuhan Coronavirus Is Identified in the U.S.</w:t>
      </w:r>
      <w:r w:rsidRPr="009F2B53">
        <w:rPr>
          <w:sz w:val="24"/>
          <w:szCs w:val="24"/>
        </w:rPr>
        <w:t xml:space="preserve">, The New York Times (Jan. 21, 2020), at </w:t>
      </w:r>
      <w:r w:rsidRPr="009F2B53">
        <w:rPr>
          <w:color w:val="0000FF"/>
          <w:sz w:val="24"/>
          <w:szCs w:val="24"/>
        </w:rPr>
        <w:t>https://www.nytimes.com/2020/01/21/health/cdc-coronavirus.html</w:t>
      </w:r>
      <w:r w:rsidRPr="009F2B53">
        <w:rPr>
          <w:sz w:val="24"/>
          <w:szCs w:val="24"/>
        </w:rPr>
        <w:t xml:space="preserve">.  </w:t>
      </w:r>
    </w:p>
  </w:footnote>
  <w:footnote w:id="3">
    <w:p w14:paraId="780526C9" w14:textId="354FBF82" w:rsidR="002C33FD" w:rsidRPr="009F2B53" w:rsidRDefault="002C33FD">
      <w:pPr>
        <w:pStyle w:val="FootnoteText"/>
        <w:rPr>
          <w:sz w:val="24"/>
          <w:szCs w:val="24"/>
        </w:rPr>
      </w:pPr>
      <w:r w:rsidRPr="009F2B53">
        <w:rPr>
          <w:rStyle w:val="FootnoteReference"/>
          <w:sz w:val="24"/>
          <w:szCs w:val="24"/>
        </w:rPr>
        <w:footnoteRef/>
      </w:r>
      <w:r w:rsidRPr="009F2B53">
        <w:rPr>
          <w:sz w:val="24"/>
          <w:szCs w:val="24"/>
        </w:rPr>
        <w:t xml:space="preserve"> </w:t>
      </w:r>
      <w:r w:rsidRPr="009F2B53">
        <w:rPr>
          <w:i/>
          <w:iCs/>
          <w:sz w:val="24"/>
          <w:szCs w:val="24"/>
        </w:rPr>
        <w:t>Coronavirus Map: Tracking the Spread of the Outbreak</w:t>
      </w:r>
      <w:r w:rsidRPr="009F2B53">
        <w:rPr>
          <w:sz w:val="24"/>
          <w:szCs w:val="24"/>
        </w:rPr>
        <w:t xml:space="preserve">, The New York Times </w:t>
      </w:r>
      <w:r w:rsidR="008E629D" w:rsidRPr="009F2B53">
        <w:rPr>
          <w:sz w:val="24"/>
          <w:szCs w:val="24"/>
        </w:rPr>
        <w:t xml:space="preserve">(April </w:t>
      </w:r>
      <w:r w:rsidR="00950225" w:rsidRPr="009F2B53">
        <w:rPr>
          <w:sz w:val="24"/>
          <w:szCs w:val="24"/>
        </w:rPr>
        <w:t>6</w:t>
      </w:r>
      <w:r w:rsidRPr="009F2B53">
        <w:rPr>
          <w:sz w:val="24"/>
          <w:szCs w:val="24"/>
        </w:rPr>
        <w:t xml:space="preserve">, 2020), at </w:t>
      </w:r>
      <w:r w:rsidR="00950225" w:rsidRPr="009F2B53">
        <w:rPr>
          <w:color w:val="0000FF"/>
          <w:sz w:val="24"/>
          <w:szCs w:val="24"/>
        </w:rPr>
        <w:t xml:space="preserve">https://www.nytimes.com/interactive/2020/world/coronavirus-maps.html </w:t>
      </w:r>
      <w:r w:rsidRPr="009F2B53">
        <w:rPr>
          <w:sz w:val="24"/>
          <w:szCs w:val="24"/>
        </w:rPr>
        <w:t xml:space="preserve">(updating regularly).  </w:t>
      </w:r>
    </w:p>
  </w:footnote>
  <w:footnote w:id="4">
    <w:p w14:paraId="40E7E954" w14:textId="37F59108" w:rsidR="002C33FD" w:rsidRPr="009F2B53" w:rsidRDefault="002C33FD">
      <w:pPr>
        <w:pStyle w:val="FootnoteText"/>
        <w:rPr>
          <w:sz w:val="24"/>
          <w:szCs w:val="24"/>
        </w:rPr>
      </w:pPr>
      <w:r w:rsidRPr="009F2B53">
        <w:rPr>
          <w:rStyle w:val="FootnoteReference"/>
          <w:sz w:val="24"/>
          <w:szCs w:val="24"/>
        </w:rPr>
        <w:footnoteRef/>
      </w:r>
      <w:r w:rsidRPr="009F2B53">
        <w:rPr>
          <w:sz w:val="24"/>
          <w:szCs w:val="24"/>
        </w:rPr>
        <w:t xml:space="preserve"> </w:t>
      </w:r>
      <w:r w:rsidRPr="009F2B53">
        <w:rPr>
          <w:i/>
          <w:iCs/>
          <w:sz w:val="24"/>
          <w:szCs w:val="24"/>
        </w:rPr>
        <w:t>Younger Adults Make Up Big Portion of Coronavirus Hospitalizations in U.S.</w:t>
      </w:r>
      <w:r w:rsidRPr="009F2B53">
        <w:rPr>
          <w:sz w:val="24"/>
          <w:szCs w:val="24"/>
        </w:rPr>
        <w:t xml:space="preserve">, The New York Times (Mar. 20, 2020), at </w:t>
      </w:r>
      <w:r w:rsidRPr="009F2B53">
        <w:rPr>
          <w:color w:val="0000FF"/>
          <w:sz w:val="24"/>
          <w:szCs w:val="24"/>
        </w:rPr>
        <w:t>https://www.nytimes.com/2020/03/18/health/coronavirus-young-people.html</w:t>
      </w:r>
      <w:r w:rsidRPr="009F2B53">
        <w:rPr>
          <w:sz w:val="24"/>
          <w:szCs w:val="24"/>
        </w:rPr>
        <w:t xml:space="preserve">.  </w:t>
      </w:r>
    </w:p>
  </w:footnote>
  <w:footnote w:id="5">
    <w:p w14:paraId="5B1C5B43" w14:textId="6BFDD632" w:rsidR="002C33FD" w:rsidRPr="009F2B53" w:rsidRDefault="002C33FD">
      <w:pPr>
        <w:pStyle w:val="FootnoteText"/>
        <w:rPr>
          <w:sz w:val="24"/>
          <w:szCs w:val="24"/>
        </w:rPr>
      </w:pPr>
      <w:r w:rsidRPr="009F2B53">
        <w:rPr>
          <w:rStyle w:val="FootnoteReference"/>
          <w:sz w:val="24"/>
          <w:szCs w:val="24"/>
        </w:rPr>
        <w:footnoteRef/>
      </w:r>
      <w:r w:rsidRPr="009F2B53">
        <w:rPr>
          <w:sz w:val="24"/>
          <w:szCs w:val="24"/>
        </w:rPr>
        <w:t xml:space="preserve"> </w:t>
      </w:r>
      <w:r w:rsidRPr="009F2B53">
        <w:rPr>
          <w:i/>
          <w:iCs/>
          <w:sz w:val="24"/>
          <w:szCs w:val="24"/>
        </w:rPr>
        <w:t>Coronavirus Live Updates</w:t>
      </w:r>
      <w:r w:rsidRPr="009F2B53">
        <w:rPr>
          <w:sz w:val="24"/>
          <w:szCs w:val="24"/>
        </w:rPr>
        <w:t xml:space="preserve">, The New York Times (Mar. 22, 2020) at </w:t>
      </w:r>
      <w:r w:rsidRPr="009F2B53">
        <w:rPr>
          <w:color w:val="0000FF"/>
          <w:sz w:val="24"/>
          <w:szCs w:val="24"/>
        </w:rPr>
        <w:t xml:space="preserve">https://www.nytimes.com/2020/03/22/world/coronavirus-updates-world-usa.html </w:t>
      </w:r>
      <w:r w:rsidRPr="009F2B53">
        <w:rPr>
          <w:sz w:val="24"/>
          <w:szCs w:val="24"/>
        </w:rPr>
        <w:t xml:space="preserve">(updating regularly). </w:t>
      </w:r>
    </w:p>
  </w:footnote>
  <w:footnote w:id="6">
    <w:p w14:paraId="03F71C4F" w14:textId="50FE90E2" w:rsidR="002C33FD" w:rsidRPr="009F2B53" w:rsidRDefault="002C33FD" w:rsidP="00A72033">
      <w:pPr>
        <w:spacing w:after="160" w:line="252" w:lineRule="auto"/>
        <w:contextualSpacing/>
      </w:pPr>
      <w:r w:rsidRPr="009F2B53">
        <w:rPr>
          <w:rStyle w:val="FootnoteReference"/>
        </w:rPr>
        <w:footnoteRef/>
      </w:r>
      <w:r w:rsidRPr="009F2B53">
        <w:t xml:space="preserve"> Joseph A. Bick (2007). Infection Control in Jails and Prisons. </w:t>
      </w:r>
      <w:r w:rsidRPr="009F2B53">
        <w:rPr>
          <w:i/>
          <w:iCs/>
        </w:rPr>
        <w:t xml:space="preserve">Clinical Infectious Diseases </w:t>
      </w:r>
      <w:r w:rsidRPr="009F2B53">
        <w:t xml:space="preserve">45(8):1047-1055, </w:t>
      </w:r>
      <w:r w:rsidRPr="009F2B53">
        <w:rPr>
          <w:i/>
        </w:rPr>
        <w:t>at</w:t>
      </w:r>
      <w:r w:rsidRPr="009F2B53">
        <w:t xml:space="preserve"> </w:t>
      </w:r>
      <w:hyperlink r:id="rId1" w:history="1">
        <w:r w:rsidRPr="009F2B53">
          <w:rPr>
            <w:rStyle w:val="Hyperlink"/>
            <w:bdr w:val="none" w:sz="0" w:space="0" w:color="auto" w:frame="1"/>
            <w:shd w:val="clear" w:color="auto" w:fill="FFFFFF"/>
          </w:rPr>
          <w:t>https://doi.org/10.1086/521910</w:t>
        </w:r>
      </w:hyperlink>
      <w:r w:rsidRPr="009F2B53">
        <w:rPr>
          <w:rStyle w:val="Hyperlink"/>
          <w:color w:val="auto"/>
          <w:u w:val="none"/>
          <w:bdr w:val="none" w:sz="0" w:space="0" w:color="auto" w:frame="1"/>
          <w:shd w:val="clear" w:color="auto" w:fill="FFFFFF"/>
        </w:rPr>
        <w:t>.</w:t>
      </w:r>
      <w:r w:rsidRPr="009F2B53">
        <w:t xml:space="preserve">  </w:t>
      </w:r>
    </w:p>
  </w:footnote>
  <w:footnote w:id="7">
    <w:p w14:paraId="3A05B354" w14:textId="4FDD29C4" w:rsidR="002C33FD" w:rsidRPr="009F2B53" w:rsidRDefault="002C33FD" w:rsidP="0097795C">
      <w:pPr>
        <w:contextualSpacing/>
      </w:pPr>
      <w:r w:rsidRPr="009F2B53">
        <w:rPr>
          <w:rStyle w:val="FootnoteReference"/>
        </w:rPr>
        <w:footnoteRef/>
      </w:r>
      <w:r w:rsidRPr="009F2B53">
        <w:t xml:space="preserve"> Laura M. </w:t>
      </w:r>
      <w:proofErr w:type="spellStart"/>
      <w:r w:rsidRPr="009F2B53">
        <w:t>Maruschak</w:t>
      </w:r>
      <w:proofErr w:type="spellEnd"/>
      <w:r w:rsidRPr="009F2B53">
        <w:t xml:space="preserve"> et al. (2015). Medical Problems of State and Federal Prisoners and Jail Inmates, 2011-12. NCJ 248491. Washington, D.C.: U.S. Department of Justice, Bureau of Justice Statistics, </w:t>
      </w:r>
      <w:r w:rsidRPr="009F2B53">
        <w:rPr>
          <w:i/>
        </w:rPr>
        <w:t xml:space="preserve">at </w:t>
      </w:r>
      <w:hyperlink r:id="rId2" w:history="1">
        <w:r w:rsidRPr="009F2B53">
          <w:rPr>
            <w:rStyle w:val="Hyperlink"/>
          </w:rPr>
          <w:t>https://www.bjs.gov/content/pub/pdf/mpsfpji1112.pdf</w:t>
        </w:r>
      </w:hyperlink>
    </w:p>
  </w:footnote>
  <w:footnote w:id="8">
    <w:p w14:paraId="07BD72F0" w14:textId="6CBCD0DA" w:rsidR="002C33FD" w:rsidRPr="009F2B53" w:rsidRDefault="002C33FD" w:rsidP="00C549F8">
      <w:pPr>
        <w:pStyle w:val="FootnoteText"/>
        <w:rPr>
          <w:sz w:val="24"/>
          <w:szCs w:val="24"/>
        </w:rPr>
      </w:pPr>
      <w:r w:rsidRPr="009F2B53">
        <w:rPr>
          <w:rStyle w:val="FootnoteReference"/>
          <w:sz w:val="24"/>
          <w:szCs w:val="24"/>
        </w:rPr>
        <w:footnoteRef/>
      </w:r>
      <w:r w:rsidRPr="009F2B53">
        <w:rPr>
          <w:sz w:val="24"/>
          <w:szCs w:val="24"/>
        </w:rPr>
        <w:t xml:space="preserve"> “Achieving A Fair And Effective COVID-19 Response: An Open Letter to Vice-President Mike Pence, and Other Federal, State, and Local Leaders from Public Health and Legal Experts in the United States,” (March 2, 2020), </w:t>
      </w:r>
      <w:r w:rsidRPr="009F2B53">
        <w:rPr>
          <w:i/>
          <w:sz w:val="24"/>
          <w:szCs w:val="24"/>
        </w:rPr>
        <w:t xml:space="preserve">at </w:t>
      </w:r>
      <w:hyperlink r:id="rId3" w:history="1">
        <w:r w:rsidRPr="009F2B53">
          <w:rPr>
            <w:rStyle w:val="Hyperlink"/>
            <w:sz w:val="24"/>
            <w:szCs w:val="24"/>
          </w:rPr>
          <w:t>https://bit.ly/2W9V6oS</w:t>
        </w:r>
      </w:hyperlink>
      <w:r w:rsidRPr="009F2B53">
        <w:rPr>
          <w:sz w:val="24"/>
          <w:szCs w:val="24"/>
        </w:rPr>
        <w:t xml:space="preserve">. </w:t>
      </w:r>
    </w:p>
  </w:footnote>
  <w:footnote w:id="9">
    <w:p w14:paraId="09EF175D" w14:textId="5D28F889" w:rsidR="002C33FD" w:rsidRPr="009F2B53" w:rsidRDefault="002C33FD" w:rsidP="00BC3BB0">
      <w:pPr>
        <w:pStyle w:val="FootnoteText"/>
        <w:rPr>
          <w:sz w:val="24"/>
          <w:szCs w:val="24"/>
        </w:rPr>
      </w:pPr>
      <w:r w:rsidRPr="009F2B53">
        <w:rPr>
          <w:rStyle w:val="FootnoteReference"/>
          <w:sz w:val="24"/>
          <w:szCs w:val="24"/>
        </w:rPr>
        <w:footnoteRef/>
      </w:r>
      <w:r w:rsidRPr="009F2B53">
        <w:rPr>
          <w:sz w:val="24"/>
          <w:szCs w:val="24"/>
        </w:rPr>
        <w:t xml:space="preserve"> </w:t>
      </w:r>
      <w:r w:rsidRPr="009F2B53">
        <w:rPr>
          <w:i/>
          <w:sz w:val="24"/>
          <w:szCs w:val="24"/>
        </w:rPr>
        <w:t>Prisons and Jails are Vulnerable to COVID-19 Outbreaks</w:t>
      </w:r>
      <w:r w:rsidRPr="009F2B53">
        <w:rPr>
          <w:sz w:val="24"/>
          <w:szCs w:val="24"/>
        </w:rPr>
        <w:t xml:space="preserve">, The Verge (Mar. 7, 2020) </w:t>
      </w:r>
      <w:r w:rsidRPr="009F2B53">
        <w:rPr>
          <w:i/>
          <w:sz w:val="24"/>
          <w:szCs w:val="24"/>
        </w:rPr>
        <w:t>at</w:t>
      </w:r>
      <w:r w:rsidRPr="009F2B53">
        <w:rPr>
          <w:sz w:val="24"/>
          <w:szCs w:val="24"/>
        </w:rPr>
        <w:t xml:space="preserve">  </w:t>
      </w:r>
      <w:hyperlink r:id="rId4" w:history="1">
        <w:r w:rsidRPr="009F2B53">
          <w:rPr>
            <w:rStyle w:val="Hyperlink"/>
            <w:sz w:val="24"/>
            <w:szCs w:val="24"/>
          </w:rPr>
          <w:t>https://bit.ly/2TNcNZY</w:t>
        </w:r>
      </w:hyperlink>
      <w:r w:rsidRPr="009F2B53">
        <w:rPr>
          <w:sz w:val="24"/>
          <w:szCs w:val="24"/>
        </w:rPr>
        <w:t xml:space="preserve">. </w:t>
      </w:r>
    </w:p>
  </w:footnote>
  <w:footnote w:id="10">
    <w:p w14:paraId="3DCA4C34" w14:textId="77777777" w:rsidR="00DC6907" w:rsidRPr="009F2B53" w:rsidRDefault="00DC6907" w:rsidP="00DC6907">
      <w:pPr>
        <w:pStyle w:val="FootnoteText"/>
        <w:rPr>
          <w:i/>
          <w:sz w:val="24"/>
          <w:szCs w:val="24"/>
        </w:rPr>
      </w:pPr>
      <w:r w:rsidRPr="009F2B53">
        <w:rPr>
          <w:rStyle w:val="FootnoteReference"/>
          <w:sz w:val="24"/>
          <w:szCs w:val="24"/>
        </w:rPr>
        <w:footnoteRef/>
      </w:r>
      <w:r w:rsidRPr="009F2B53">
        <w:rPr>
          <w:sz w:val="24"/>
          <w:szCs w:val="24"/>
        </w:rPr>
        <w:t xml:space="preserve"> Rhea Mahbubani, </w:t>
      </w:r>
      <w:r w:rsidRPr="009F2B53">
        <w:rPr>
          <w:i/>
          <w:sz w:val="24"/>
          <w:szCs w:val="24"/>
        </w:rPr>
        <w:t>Chinese Jails Have Become Hotbeds of Coronavirus As More Than 500 Cases Have Erupted, Prompting the Ouster of Several Officials</w:t>
      </w:r>
      <w:r w:rsidRPr="009F2B53">
        <w:rPr>
          <w:sz w:val="24"/>
          <w:szCs w:val="24"/>
        </w:rPr>
        <w:t xml:space="preserve">, Business Insider (Feb. 21, 2020) </w:t>
      </w:r>
      <w:r w:rsidRPr="009F2B53">
        <w:rPr>
          <w:i/>
          <w:sz w:val="24"/>
          <w:szCs w:val="24"/>
        </w:rPr>
        <w:t xml:space="preserve">at </w:t>
      </w:r>
      <w:hyperlink r:id="rId5" w:history="1">
        <w:r w:rsidRPr="009F2B53">
          <w:rPr>
            <w:rStyle w:val="Hyperlink"/>
            <w:sz w:val="24"/>
            <w:szCs w:val="24"/>
          </w:rPr>
          <w:t>https://bit.ly/2vSzSRT</w:t>
        </w:r>
      </w:hyperlink>
      <w:r w:rsidRPr="009F2B53">
        <w:rPr>
          <w:sz w:val="24"/>
          <w:szCs w:val="24"/>
        </w:rPr>
        <w:t xml:space="preserve">. </w:t>
      </w:r>
    </w:p>
  </w:footnote>
  <w:footnote w:id="11">
    <w:p w14:paraId="4A98F428" w14:textId="77777777" w:rsidR="00DC6907" w:rsidRPr="009F2B53" w:rsidRDefault="00DC6907" w:rsidP="00DC6907">
      <w:r w:rsidRPr="009F2B53">
        <w:rPr>
          <w:rStyle w:val="FootnoteReference"/>
        </w:rPr>
        <w:footnoteRef/>
      </w:r>
      <w:r w:rsidRPr="009F2B53">
        <w:t xml:space="preserve"> Hugo Miller, et al., </w:t>
      </w:r>
      <w:r w:rsidRPr="009F2B53">
        <w:rPr>
          <w:i/>
          <w:iCs/>
        </w:rPr>
        <w:t>EU Ministers Meet on Prison Virus Risks Amid Inmate Releases</w:t>
      </w:r>
      <w:r w:rsidRPr="009F2B53">
        <w:t xml:space="preserve">, Bloomberg (Apr. 5, 2020), </w:t>
      </w:r>
      <w:hyperlink r:id="rId6" w:history="1">
        <w:r w:rsidRPr="009F2B53">
          <w:rPr>
            <w:rStyle w:val="Hyperlink"/>
          </w:rPr>
          <w:t>https://www.bloomberg.com/news/articles/2020-04-05/u-k-to-release-up-to-4-000-inmates-as-prison-virus-cases-grow</w:t>
        </w:r>
      </w:hyperlink>
      <w:r w:rsidRPr="009F2B53">
        <w:t xml:space="preserve"> (last visited Apr. 6, 2020).</w:t>
      </w:r>
    </w:p>
  </w:footnote>
  <w:footnote w:id="12">
    <w:p w14:paraId="68DB8728" w14:textId="77777777" w:rsidR="00DC6907" w:rsidRPr="009F2B53" w:rsidRDefault="00DC6907" w:rsidP="00DC6907">
      <w:r w:rsidRPr="009F2B53">
        <w:rPr>
          <w:rStyle w:val="FootnoteReference"/>
        </w:rPr>
        <w:footnoteRef/>
      </w:r>
      <w:r w:rsidRPr="009F2B53">
        <w:t xml:space="preserve"> </w:t>
      </w:r>
      <w:r w:rsidRPr="009F2B53">
        <w:rPr>
          <w:i/>
          <w:iCs/>
        </w:rPr>
        <w:t>Id</w:t>
      </w:r>
      <w:r w:rsidRPr="009F2B53">
        <w:t>.</w:t>
      </w:r>
    </w:p>
  </w:footnote>
  <w:footnote w:id="13">
    <w:p w14:paraId="3A66F8DF" w14:textId="77777777" w:rsidR="004D10D9" w:rsidRPr="009F2B53" w:rsidRDefault="004D10D9" w:rsidP="004D10D9">
      <w:pPr>
        <w:pStyle w:val="FootnoteText"/>
        <w:rPr>
          <w:sz w:val="24"/>
          <w:szCs w:val="24"/>
        </w:rPr>
      </w:pPr>
      <w:r w:rsidRPr="009F2B53">
        <w:rPr>
          <w:rStyle w:val="FootnoteReference"/>
          <w:sz w:val="24"/>
          <w:szCs w:val="24"/>
        </w:rPr>
        <w:footnoteRef/>
      </w:r>
      <w:r w:rsidRPr="009F2B53">
        <w:rPr>
          <w:sz w:val="24"/>
          <w:szCs w:val="24"/>
        </w:rPr>
        <w:t xml:space="preserve"> Jennifer </w:t>
      </w:r>
      <w:proofErr w:type="spellStart"/>
      <w:r w:rsidRPr="009F2B53">
        <w:rPr>
          <w:sz w:val="24"/>
          <w:szCs w:val="24"/>
        </w:rPr>
        <w:t>Hansler</w:t>
      </w:r>
      <w:proofErr w:type="spellEnd"/>
      <w:r w:rsidRPr="009F2B53">
        <w:rPr>
          <w:sz w:val="24"/>
          <w:szCs w:val="24"/>
        </w:rPr>
        <w:t xml:space="preserve"> and Kylie Atwood, </w:t>
      </w:r>
      <w:r w:rsidRPr="009F2B53">
        <w:rPr>
          <w:i/>
          <w:sz w:val="24"/>
          <w:szCs w:val="24"/>
        </w:rPr>
        <w:t>Pompeo calls for humanitarian release of wrongfully detained Americans in Iran amid coronavirus outbreak</w:t>
      </w:r>
      <w:r w:rsidRPr="009F2B53">
        <w:rPr>
          <w:sz w:val="24"/>
          <w:szCs w:val="24"/>
        </w:rPr>
        <w:t xml:space="preserve">, CNN (Mar. 10, 2020) </w:t>
      </w:r>
      <w:r w:rsidRPr="009F2B53">
        <w:rPr>
          <w:i/>
          <w:sz w:val="24"/>
          <w:szCs w:val="24"/>
        </w:rPr>
        <w:t xml:space="preserve">at  </w:t>
      </w:r>
      <w:r w:rsidRPr="009F2B53">
        <w:rPr>
          <w:sz w:val="24"/>
          <w:szCs w:val="24"/>
        </w:rPr>
        <w:t xml:space="preserve"> </w:t>
      </w:r>
      <w:r w:rsidRPr="009F2B53">
        <w:rPr>
          <w:rStyle w:val="Hyperlink"/>
          <w:sz w:val="24"/>
          <w:szCs w:val="24"/>
        </w:rPr>
        <w:t>https://cnn.it/2W4OpV7</w:t>
      </w:r>
      <w:r w:rsidRPr="009F2B53">
        <w:rPr>
          <w:sz w:val="24"/>
          <w:szCs w:val="24"/>
        </w:rPr>
        <w:t xml:space="preserve">. </w:t>
      </w:r>
    </w:p>
  </w:footnote>
  <w:footnote w:id="14">
    <w:p w14:paraId="1B664C5E" w14:textId="77777777" w:rsidR="004D10D9" w:rsidRPr="009F2B53" w:rsidRDefault="004D10D9" w:rsidP="004D10D9">
      <w:pPr>
        <w:pStyle w:val="FootnoteText"/>
        <w:rPr>
          <w:sz w:val="24"/>
          <w:szCs w:val="24"/>
        </w:rPr>
      </w:pPr>
      <w:r w:rsidRPr="009F2B53">
        <w:rPr>
          <w:rStyle w:val="FootnoteReference"/>
          <w:sz w:val="24"/>
          <w:szCs w:val="24"/>
        </w:rPr>
        <w:footnoteRef/>
      </w:r>
      <w:r w:rsidRPr="009F2B53">
        <w:rPr>
          <w:sz w:val="24"/>
          <w:szCs w:val="24"/>
        </w:rPr>
        <w:t xml:space="preserve">Parisa </w:t>
      </w:r>
      <w:proofErr w:type="spellStart"/>
      <w:r w:rsidRPr="009F2B53">
        <w:rPr>
          <w:sz w:val="24"/>
          <w:szCs w:val="24"/>
        </w:rPr>
        <w:t>Hafezi</w:t>
      </w:r>
      <w:proofErr w:type="spellEnd"/>
      <w:r w:rsidRPr="009F2B53">
        <w:rPr>
          <w:sz w:val="24"/>
          <w:szCs w:val="24"/>
        </w:rPr>
        <w:t xml:space="preserve">, </w:t>
      </w:r>
      <w:r w:rsidRPr="009F2B53">
        <w:rPr>
          <w:i/>
          <w:iCs/>
          <w:sz w:val="24"/>
          <w:szCs w:val="24"/>
        </w:rPr>
        <w:t>Iran Extends Prison Furloughs As Coronavirus Death Toll Rises</w:t>
      </w:r>
      <w:r w:rsidRPr="009F2B53">
        <w:rPr>
          <w:sz w:val="24"/>
          <w:szCs w:val="24"/>
        </w:rPr>
        <w:t xml:space="preserve">, Reuters (Mar. 29, 2020), https://www.reuters.com/article/us-health-coronavirus-iran/iran-extends-prison-furloughs-as-coronavirus-death-toll-rises-idUSKBN21G0DV (last visited Apr. 3, 2020). </w:t>
      </w:r>
    </w:p>
  </w:footnote>
  <w:footnote w:id="15">
    <w:p w14:paraId="3E8C8552" w14:textId="77777777" w:rsidR="004D10D9" w:rsidRPr="009F2B53" w:rsidRDefault="004D10D9" w:rsidP="004D10D9">
      <w:pPr>
        <w:pStyle w:val="FootnoteText"/>
        <w:rPr>
          <w:sz w:val="24"/>
          <w:szCs w:val="24"/>
        </w:rPr>
      </w:pPr>
      <w:r w:rsidRPr="009F2B53">
        <w:rPr>
          <w:rStyle w:val="FootnoteReference"/>
          <w:sz w:val="24"/>
          <w:szCs w:val="24"/>
        </w:rPr>
        <w:footnoteRef/>
      </w:r>
      <w:r w:rsidRPr="009F2B53">
        <w:rPr>
          <w:sz w:val="24"/>
          <w:szCs w:val="24"/>
        </w:rPr>
        <w:t xml:space="preserve"> World Prison Brief, Iran, </w:t>
      </w:r>
      <w:hyperlink r:id="rId7" w:history="1">
        <w:r w:rsidRPr="009F2B53">
          <w:rPr>
            <w:rStyle w:val="Hyperlink"/>
            <w:sz w:val="24"/>
            <w:szCs w:val="24"/>
          </w:rPr>
          <w:t>https://www.prisonstudies.org/country/iran</w:t>
        </w:r>
      </w:hyperlink>
      <w:r w:rsidRPr="009F2B53">
        <w:rPr>
          <w:sz w:val="24"/>
          <w:szCs w:val="24"/>
        </w:rPr>
        <w:t xml:space="preserve"> (last visited Apr. 3, 2020).</w:t>
      </w:r>
    </w:p>
  </w:footnote>
  <w:footnote w:id="16">
    <w:p w14:paraId="2FE36618" w14:textId="77777777" w:rsidR="004D10D9" w:rsidRPr="009F2B53" w:rsidRDefault="004D10D9" w:rsidP="004D10D9">
      <w:pPr>
        <w:pStyle w:val="FootnoteText"/>
        <w:rPr>
          <w:sz w:val="24"/>
          <w:szCs w:val="24"/>
        </w:rPr>
      </w:pPr>
      <w:r w:rsidRPr="009F2B53">
        <w:rPr>
          <w:rStyle w:val="FootnoteReference"/>
          <w:sz w:val="24"/>
          <w:szCs w:val="24"/>
        </w:rPr>
        <w:footnoteRef/>
      </w:r>
      <w:r w:rsidRPr="009F2B53">
        <w:rPr>
          <w:sz w:val="24"/>
          <w:szCs w:val="24"/>
        </w:rPr>
        <w:t xml:space="preserve"> AFP, </w:t>
      </w:r>
      <w:r w:rsidRPr="009F2B53">
        <w:rPr>
          <w:i/>
          <w:iCs/>
          <w:sz w:val="24"/>
          <w:szCs w:val="24"/>
        </w:rPr>
        <w:t xml:space="preserve">Afghanistan to Release Up to 10,000 Prisoners to Slow Coronavirus Spread, </w:t>
      </w:r>
      <w:r w:rsidRPr="009F2B53">
        <w:rPr>
          <w:sz w:val="24"/>
          <w:szCs w:val="24"/>
        </w:rPr>
        <w:t xml:space="preserve">Yahoo! News (Mar. 26, 2020), </w:t>
      </w:r>
      <w:hyperlink r:id="rId8" w:history="1">
        <w:r w:rsidRPr="009F2B53">
          <w:rPr>
            <w:rStyle w:val="Hyperlink"/>
            <w:sz w:val="24"/>
            <w:szCs w:val="24"/>
          </w:rPr>
          <w:t>https://news.yahoo.com/afghanistan-release-10-000-prisoners-slow-coronavirus-spread-211850224.html</w:t>
        </w:r>
      </w:hyperlink>
      <w:r w:rsidRPr="009F2B53">
        <w:rPr>
          <w:sz w:val="24"/>
          <w:szCs w:val="24"/>
        </w:rPr>
        <w:t xml:space="preserve">. </w:t>
      </w:r>
    </w:p>
  </w:footnote>
  <w:footnote w:id="17">
    <w:p w14:paraId="41D06F40" w14:textId="77777777" w:rsidR="004D10D9" w:rsidRPr="009F2B53" w:rsidRDefault="004D10D9" w:rsidP="004D10D9">
      <w:pPr>
        <w:pStyle w:val="FootnoteText"/>
        <w:rPr>
          <w:sz w:val="24"/>
          <w:szCs w:val="24"/>
        </w:rPr>
      </w:pPr>
      <w:r w:rsidRPr="009F2B53">
        <w:rPr>
          <w:rStyle w:val="FootnoteReference"/>
          <w:sz w:val="24"/>
          <w:szCs w:val="24"/>
        </w:rPr>
        <w:footnoteRef/>
      </w:r>
      <w:r w:rsidRPr="009F2B53">
        <w:rPr>
          <w:sz w:val="24"/>
          <w:szCs w:val="24"/>
        </w:rPr>
        <w:t xml:space="preserve"> Caleb </w:t>
      </w:r>
      <w:proofErr w:type="spellStart"/>
      <w:r w:rsidRPr="009F2B53">
        <w:rPr>
          <w:sz w:val="24"/>
          <w:szCs w:val="24"/>
        </w:rPr>
        <w:t>Lefèvre</w:t>
      </w:r>
      <w:proofErr w:type="spellEnd"/>
      <w:r w:rsidRPr="009F2B53">
        <w:rPr>
          <w:sz w:val="24"/>
          <w:szCs w:val="24"/>
        </w:rPr>
        <w:t xml:space="preserve">, </w:t>
      </w:r>
      <w:r w:rsidRPr="009F2B53">
        <w:rPr>
          <w:i/>
          <w:iCs/>
          <w:sz w:val="24"/>
          <w:szCs w:val="24"/>
        </w:rPr>
        <w:t>Covid-19: Special Hearings on the Horizon to Release Inmates</w:t>
      </w:r>
      <w:r w:rsidRPr="009F2B53">
        <w:rPr>
          <w:sz w:val="24"/>
          <w:szCs w:val="24"/>
        </w:rPr>
        <w:t xml:space="preserve">, Le </w:t>
      </w:r>
      <w:proofErr w:type="spellStart"/>
      <w:r w:rsidRPr="009F2B53">
        <w:rPr>
          <w:sz w:val="24"/>
          <w:szCs w:val="24"/>
        </w:rPr>
        <w:t>Nouvelliste</w:t>
      </w:r>
      <w:proofErr w:type="spellEnd"/>
      <w:r w:rsidRPr="009F2B53">
        <w:rPr>
          <w:sz w:val="24"/>
          <w:szCs w:val="24"/>
        </w:rPr>
        <w:t xml:space="preserve"> (Mar. 30, 2020), </w:t>
      </w:r>
      <w:hyperlink r:id="rId9" w:history="1">
        <w:r w:rsidRPr="009F2B53">
          <w:rPr>
            <w:rStyle w:val="Hyperlink"/>
            <w:sz w:val="24"/>
            <w:szCs w:val="24"/>
          </w:rPr>
          <w:t>https://translate.google.com/translate?client=firefox-b-1-d&amp;client=tw-ob&amp;um=1&amp;ie=UTF-8&amp;hl=en&amp;sl=ht&amp;tl=en&amp;u=https%3A%2F%2Flenouvelliste.com%2Farticle%2F214223%2Fcovid-19-des-audiences-speciales-a-lhorizon-pour-liberer-des-detenus</w:t>
        </w:r>
      </w:hyperlink>
      <w:r w:rsidRPr="009F2B53">
        <w:rPr>
          <w:sz w:val="24"/>
          <w:szCs w:val="24"/>
        </w:rPr>
        <w:t xml:space="preserve"> (last visited Apr. 3, 2020); Margaret L. Satterthwaite (@</w:t>
      </w:r>
      <w:proofErr w:type="spellStart"/>
      <w:r w:rsidRPr="009F2B53">
        <w:rPr>
          <w:sz w:val="24"/>
          <w:szCs w:val="24"/>
        </w:rPr>
        <w:t>SatterthwaiteML</w:t>
      </w:r>
      <w:proofErr w:type="spellEnd"/>
      <w:r w:rsidRPr="009F2B53">
        <w:rPr>
          <w:sz w:val="24"/>
          <w:szCs w:val="24"/>
        </w:rPr>
        <w:t xml:space="preserve">), Twitter (Mar. 30, 2020, 4:46PM), </w:t>
      </w:r>
      <w:hyperlink r:id="rId10" w:history="1">
        <w:r w:rsidRPr="009F2B53">
          <w:rPr>
            <w:rStyle w:val="Hyperlink"/>
            <w:sz w:val="24"/>
            <w:szCs w:val="24"/>
          </w:rPr>
          <w:t>https://twitter.com/SatterthwaiteML/status/1244727743520129029</w:t>
        </w:r>
      </w:hyperlink>
      <w:r w:rsidRPr="009F2B53">
        <w:rPr>
          <w:sz w:val="24"/>
          <w:szCs w:val="24"/>
        </w:rPr>
        <w:t>.</w:t>
      </w:r>
    </w:p>
  </w:footnote>
  <w:footnote w:id="18">
    <w:p w14:paraId="743A1485" w14:textId="77777777" w:rsidR="00DC6907" w:rsidRPr="009F2B53" w:rsidRDefault="00DC6907" w:rsidP="00DC6907">
      <w:r w:rsidRPr="009F2B53">
        <w:rPr>
          <w:rStyle w:val="FootnoteReference"/>
        </w:rPr>
        <w:footnoteRef/>
      </w:r>
      <w:r w:rsidRPr="009F2B53">
        <w:t xml:space="preserve"> Office of the Attorney General, </w:t>
      </w:r>
      <w:r w:rsidRPr="009F2B53">
        <w:rPr>
          <w:i/>
          <w:iCs/>
        </w:rPr>
        <w:t>Increasing Use of Home Confinement at Institutions Most Affected by COVID-19</w:t>
      </w:r>
      <w:r w:rsidRPr="009F2B53">
        <w:t xml:space="preserve"> (Apr. 3, 2020) at 1, available at https://www.politico.com/f/?id=00000171-4255-d6b1-a3f1-c6d51b810000.</w:t>
      </w:r>
    </w:p>
  </w:footnote>
  <w:footnote w:id="19">
    <w:p w14:paraId="63735BFB" w14:textId="4CCC43E1" w:rsidR="00DC6907" w:rsidRPr="009F2B53" w:rsidRDefault="00DC6907" w:rsidP="00DC6907">
      <w:r w:rsidRPr="009F2B53">
        <w:rPr>
          <w:rStyle w:val="FootnoteReference"/>
        </w:rPr>
        <w:footnoteRef/>
      </w:r>
      <w:r w:rsidRPr="009F2B53">
        <w:t xml:space="preserve"> </w:t>
      </w:r>
      <w:r w:rsidRPr="009F2B53">
        <w:rPr>
          <w:i/>
          <w:iCs/>
        </w:rPr>
        <w:t>Id</w:t>
      </w:r>
      <w:r w:rsidRPr="009F2B53">
        <w:t>.</w:t>
      </w:r>
      <w:r w:rsidR="00DE364D" w:rsidRPr="009F2B53">
        <w:t xml:space="preserve"> at 1-2.</w:t>
      </w:r>
    </w:p>
  </w:footnote>
  <w:footnote w:id="20">
    <w:p w14:paraId="5B9C9E73" w14:textId="328B3AF5" w:rsidR="00DC6907" w:rsidRPr="009F2B53" w:rsidRDefault="00DC6907" w:rsidP="00DC6907">
      <w:r w:rsidRPr="009F2B53">
        <w:rPr>
          <w:rStyle w:val="FootnoteReference"/>
        </w:rPr>
        <w:footnoteRef/>
      </w:r>
      <w:r w:rsidRPr="009F2B53">
        <w:t xml:space="preserve"> Paige St. John, </w:t>
      </w:r>
      <w:r w:rsidRPr="009F2B53">
        <w:rPr>
          <w:i/>
          <w:iCs/>
        </w:rPr>
        <w:t>California to Release 3,500 Inmates Early as Coronavirus Spreads Inside Prisons</w:t>
      </w:r>
      <w:r w:rsidRPr="009F2B53">
        <w:t xml:space="preserve">, Los Angeles Times (Mar. 31, 2020), </w:t>
      </w:r>
      <w:hyperlink r:id="rId11" w:history="1">
        <w:r w:rsidRPr="009F2B53">
          <w:rPr>
            <w:rStyle w:val="Hyperlink"/>
          </w:rPr>
          <w:t>https://www.latimes.com/california/story/2020-03-31/coronavirus-california-release-3500-inmates-prisons</w:t>
        </w:r>
      </w:hyperlink>
      <w:r w:rsidRPr="009F2B53">
        <w:t>.</w:t>
      </w:r>
    </w:p>
  </w:footnote>
  <w:footnote w:id="21">
    <w:p w14:paraId="22777BB2" w14:textId="5BD620C7" w:rsidR="00DC6907" w:rsidRPr="009F2B53" w:rsidRDefault="00DC6907" w:rsidP="00DC6907">
      <w:r w:rsidRPr="009F2B53">
        <w:rPr>
          <w:rStyle w:val="FootnoteReference"/>
        </w:rPr>
        <w:footnoteRef/>
      </w:r>
      <w:r w:rsidR="004D10D9" w:rsidRPr="009F2B53">
        <w:t xml:space="preserve">Stephen Rex Brown &amp; </w:t>
      </w:r>
      <w:proofErr w:type="spellStart"/>
      <w:r w:rsidR="004D10D9" w:rsidRPr="009F2B53">
        <w:t>Chelsia</w:t>
      </w:r>
      <w:proofErr w:type="spellEnd"/>
      <w:r w:rsidR="004D10D9" w:rsidRPr="009F2B53">
        <w:t xml:space="preserve"> Rose Marcius</w:t>
      </w:r>
      <w:r w:rsidRPr="009F2B53">
        <w:t xml:space="preserve">, </w:t>
      </w:r>
      <w:r w:rsidR="00C91288" w:rsidRPr="009F2B53">
        <w:rPr>
          <w:i/>
          <w:iCs/>
        </w:rPr>
        <w:t>NYC district attorneys alarmed by accounts of horrible conditions at Rikers amid coronavirus outbreak</w:t>
      </w:r>
      <w:r w:rsidRPr="009F2B53">
        <w:t xml:space="preserve">, </w:t>
      </w:r>
      <w:r w:rsidR="00C91288" w:rsidRPr="009F2B53">
        <w:t>N.Y. Daily News</w:t>
      </w:r>
      <w:r w:rsidRPr="009F2B53">
        <w:t xml:space="preserve"> (</w:t>
      </w:r>
      <w:r w:rsidR="00C91288" w:rsidRPr="009F2B53">
        <w:t>Apr. 6</w:t>
      </w:r>
      <w:r w:rsidRPr="009F2B53">
        <w:t xml:space="preserve">, 2020), </w:t>
      </w:r>
      <w:hyperlink r:id="rId12" w:history="1">
        <w:r w:rsidR="004D10D9" w:rsidRPr="009F2B53">
          <w:rPr>
            <w:rStyle w:val="Hyperlink"/>
          </w:rPr>
          <w:t>https://www.nydailynews.com/new-york/ny-district-attorneys-rikers-conditions-20200406-rdjvtuwfsndqtmzuit3t66bkhq-story.html</w:t>
        </w:r>
      </w:hyperlink>
      <w:r w:rsidR="004D10D9" w:rsidRPr="009F2B53">
        <w:t>.</w:t>
      </w:r>
    </w:p>
  </w:footnote>
  <w:footnote w:id="22">
    <w:p w14:paraId="5FCE26A6" w14:textId="7CEAB428" w:rsidR="002C33FD" w:rsidRPr="009F2B53" w:rsidRDefault="002C33FD">
      <w:pPr>
        <w:pStyle w:val="FootnoteText"/>
        <w:rPr>
          <w:sz w:val="24"/>
          <w:szCs w:val="24"/>
        </w:rPr>
      </w:pPr>
      <w:r w:rsidRPr="009F2B53">
        <w:rPr>
          <w:rStyle w:val="FootnoteReference"/>
          <w:sz w:val="24"/>
          <w:szCs w:val="24"/>
        </w:rPr>
        <w:footnoteRef/>
      </w:r>
      <w:r w:rsidRPr="009F2B53">
        <w:rPr>
          <w:sz w:val="24"/>
          <w:szCs w:val="24"/>
        </w:rPr>
        <w:t xml:space="preserve"> </w:t>
      </w:r>
      <w:r w:rsidR="004D10D9" w:rsidRPr="009F2B53">
        <w:rPr>
          <w:i/>
          <w:iCs/>
          <w:sz w:val="24"/>
          <w:szCs w:val="24"/>
        </w:rPr>
        <w:t>See generally</w:t>
      </w:r>
      <w:r w:rsidR="004D10D9" w:rsidRPr="009F2B53">
        <w:rPr>
          <w:sz w:val="24"/>
          <w:szCs w:val="24"/>
        </w:rPr>
        <w:t xml:space="preserve">, </w:t>
      </w:r>
      <w:r w:rsidR="004D10D9" w:rsidRPr="009F2B53">
        <w:rPr>
          <w:i/>
          <w:iCs/>
          <w:sz w:val="24"/>
          <w:szCs w:val="24"/>
        </w:rPr>
        <w:t>Responses to the COVID-19 pandemic</w:t>
      </w:r>
      <w:r w:rsidR="004D10D9" w:rsidRPr="009F2B53">
        <w:rPr>
          <w:sz w:val="24"/>
          <w:szCs w:val="24"/>
        </w:rPr>
        <w:t xml:space="preserve">, Prison Policy Initiative, </w:t>
      </w:r>
      <w:hyperlink r:id="rId13" w:history="1">
        <w:r w:rsidR="004D10D9" w:rsidRPr="009F2B53">
          <w:rPr>
            <w:rStyle w:val="Hyperlink"/>
            <w:sz w:val="24"/>
            <w:szCs w:val="24"/>
          </w:rPr>
          <w:t>https://www.prisonpolicy.org/virus/virusresponse.html</w:t>
        </w:r>
      </w:hyperlink>
      <w:r w:rsidR="004D10D9" w:rsidRPr="009F2B53">
        <w:rPr>
          <w:sz w:val="24"/>
          <w:szCs w:val="24"/>
        </w:rPr>
        <w:t xml:space="preserve"> (last updated Apr. 6, 2020).</w:t>
      </w:r>
    </w:p>
  </w:footnote>
  <w:footnote w:id="23">
    <w:p w14:paraId="01CEF9A8" w14:textId="3836630E" w:rsidR="00B22F8A" w:rsidRPr="009F2B53" w:rsidRDefault="00B22F8A" w:rsidP="00B22F8A">
      <w:pPr>
        <w:pStyle w:val="FootnoteText"/>
        <w:rPr>
          <w:sz w:val="24"/>
          <w:szCs w:val="24"/>
        </w:rPr>
      </w:pPr>
      <w:r w:rsidRPr="009F2B53">
        <w:rPr>
          <w:rStyle w:val="FootnoteReference"/>
          <w:sz w:val="24"/>
          <w:szCs w:val="24"/>
        </w:rPr>
        <w:footnoteRef/>
      </w:r>
      <w:r w:rsidRPr="009F2B53">
        <w:rPr>
          <w:sz w:val="24"/>
          <w:szCs w:val="24"/>
        </w:rPr>
        <w:t xml:space="preserve"> </w:t>
      </w:r>
      <w:r w:rsidRPr="009F2B53">
        <w:rPr>
          <w:i/>
          <w:iCs/>
          <w:sz w:val="24"/>
          <w:szCs w:val="24"/>
        </w:rPr>
        <w:t xml:space="preserve">Available at </w:t>
      </w:r>
      <w:hyperlink r:id="rId14" w:history="1">
        <w:r w:rsidRPr="009F2B53">
          <w:rPr>
            <w:rStyle w:val="Hyperlink"/>
            <w:sz w:val="24"/>
            <w:szCs w:val="24"/>
          </w:rPr>
          <w:t>https://appellate-records.courts.alaska.gov/CMSPublic/UserControl/OpenBailDocument?caseNumber=A13630</w:t>
        </w:r>
      </w:hyperlink>
      <w:r w:rsidRPr="009F2B53">
        <w:rPr>
          <w:sz w:val="24"/>
          <w:szCs w:val="24"/>
        </w:rPr>
        <w:t xml:space="preserve">. </w:t>
      </w:r>
    </w:p>
  </w:footnote>
  <w:footnote w:id="24">
    <w:p w14:paraId="29286323" w14:textId="04C34343" w:rsidR="00B22F8A" w:rsidRPr="009F2B53" w:rsidRDefault="00B22F8A" w:rsidP="00B22F8A">
      <w:pPr>
        <w:pStyle w:val="FootnoteText"/>
        <w:rPr>
          <w:sz w:val="24"/>
          <w:szCs w:val="24"/>
        </w:rPr>
      </w:pPr>
      <w:r w:rsidRPr="009F2B53">
        <w:rPr>
          <w:rStyle w:val="FootnoteReference"/>
          <w:sz w:val="24"/>
          <w:szCs w:val="24"/>
        </w:rPr>
        <w:footnoteRef/>
      </w:r>
      <w:r w:rsidRPr="009F2B53">
        <w:rPr>
          <w:sz w:val="24"/>
          <w:szCs w:val="24"/>
        </w:rPr>
        <w:t xml:space="preserve"> </w:t>
      </w:r>
      <w:r w:rsidRPr="009F2B53">
        <w:rPr>
          <w:i/>
          <w:iCs/>
          <w:sz w:val="24"/>
          <w:szCs w:val="24"/>
        </w:rPr>
        <w:t xml:space="preserve">Available at </w:t>
      </w:r>
      <w:hyperlink r:id="rId15" w:history="1">
        <w:r w:rsidRPr="009F2B53">
          <w:rPr>
            <w:rStyle w:val="Hyperlink"/>
            <w:sz w:val="24"/>
            <w:szCs w:val="24"/>
          </w:rPr>
          <w:t>https://courts.mt.gov/Portals/189/virus/Ltr%20to%20COLJ%20Judges%20re%20COVID-19%20032020.pdf?ver=2020-03-20-115517-333</w:t>
        </w:r>
      </w:hyperlink>
      <w:r w:rsidRPr="009F2B53">
        <w:rPr>
          <w:sz w:val="24"/>
          <w:szCs w:val="24"/>
        </w:rPr>
        <w:t>.</w:t>
      </w:r>
    </w:p>
  </w:footnote>
  <w:footnote w:id="25">
    <w:p w14:paraId="341B272B" w14:textId="2BBE7D60" w:rsidR="006939DC" w:rsidRPr="009F2B53" w:rsidRDefault="006939DC" w:rsidP="006939DC">
      <w:r w:rsidRPr="009F2B53">
        <w:rPr>
          <w:rStyle w:val="FootnoteReference"/>
        </w:rPr>
        <w:footnoteRef/>
      </w:r>
      <w:r w:rsidRPr="009F2B53">
        <w:t xml:space="preserve"> </w:t>
      </w:r>
      <w:r w:rsidRPr="009F2B53">
        <w:rPr>
          <w:i/>
          <w:iCs/>
        </w:rPr>
        <w:t>Available at</w:t>
      </w:r>
      <w:r w:rsidRPr="009F2B53">
        <w:t xml:space="preserve"> </w:t>
      </w:r>
      <w:hyperlink r:id="rId16" w:history="1">
        <w:r w:rsidRPr="009F2B53">
          <w:rPr>
            <w:rStyle w:val="Hyperlink"/>
          </w:rPr>
          <w:t>https://www.sccourts.org/whatsnew/displaywhatsnew.cfm?indexID=2461</w:t>
        </w:r>
      </w:hyperlink>
      <w:r w:rsidRPr="009F2B53">
        <w:t xml:space="preserve">. </w:t>
      </w:r>
    </w:p>
  </w:footnote>
  <w:footnote w:id="26">
    <w:p w14:paraId="22055974" w14:textId="0AA4C906" w:rsidR="00F92E55" w:rsidRPr="009F2B53" w:rsidRDefault="00F92E55">
      <w:pPr>
        <w:pStyle w:val="FootnoteText"/>
        <w:rPr>
          <w:sz w:val="24"/>
          <w:szCs w:val="24"/>
        </w:rPr>
      </w:pPr>
      <w:r w:rsidRPr="009F2B53">
        <w:rPr>
          <w:rStyle w:val="FootnoteReference"/>
          <w:sz w:val="24"/>
          <w:szCs w:val="24"/>
        </w:rPr>
        <w:footnoteRef/>
      </w:r>
      <w:r w:rsidRPr="009F2B53">
        <w:rPr>
          <w:sz w:val="24"/>
          <w:szCs w:val="24"/>
        </w:rPr>
        <w:t xml:space="preserve"> </w:t>
      </w:r>
      <w:r w:rsidRPr="009F2B53">
        <w:rPr>
          <w:i/>
          <w:iCs/>
          <w:sz w:val="24"/>
          <w:szCs w:val="24"/>
        </w:rPr>
        <w:t xml:space="preserve">Available at </w:t>
      </w:r>
      <w:hyperlink r:id="rId17" w:history="1">
        <w:r w:rsidRPr="009F2B53">
          <w:rPr>
            <w:rStyle w:val="Hyperlink"/>
            <w:sz w:val="24"/>
            <w:szCs w:val="24"/>
          </w:rPr>
          <w:t>https://www.leagle.com/decision/infdco20200318c90</w:t>
        </w:r>
      </w:hyperlink>
      <w:r w:rsidRPr="009F2B53">
        <w:rPr>
          <w:sz w:val="24"/>
          <w:szCs w:val="24"/>
        </w:rPr>
        <w:t xml:space="preserve">. </w:t>
      </w:r>
    </w:p>
  </w:footnote>
  <w:footnote w:id="27">
    <w:p w14:paraId="261A3F72" w14:textId="77777777" w:rsidR="009F2B53" w:rsidRPr="009F2B53" w:rsidRDefault="009F2B53" w:rsidP="009F2B53">
      <w:r w:rsidRPr="009F2B53">
        <w:rPr>
          <w:rStyle w:val="FootnoteReference"/>
        </w:rPr>
        <w:footnoteRef/>
      </w:r>
      <w:r w:rsidRPr="009F2B53">
        <w:t xml:space="preserve"> </w:t>
      </w:r>
      <w:r w:rsidRPr="009F2B53">
        <w:rPr>
          <w:i/>
          <w:iCs/>
        </w:rPr>
        <w:t>Available at</w:t>
      </w:r>
      <w:r w:rsidRPr="009F2B53">
        <w:t xml:space="preserve"> </w:t>
      </w:r>
      <w:hyperlink r:id="rId18" w:tooltip="https://www.courtlistener.com/recap/gov.uscourts.cand.76/gov.uscourts.cand.76.3261.0.pdf" w:history="1">
        <w:r w:rsidRPr="009F2B53">
          <w:rPr>
            <w:rStyle w:val="Hyperlink"/>
          </w:rPr>
          <w:t>https://www.courtlistener.com/recap/gov.uscourts.cand.76/gov.uscourts.cand.76.3261.0.pdf</w:t>
        </w:r>
      </w:hyperlink>
      <w:r w:rsidRPr="009F2B53">
        <w:t xml:space="preserve">. </w:t>
      </w:r>
    </w:p>
  </w:footnote>
  <w:footnote w:id="28">
    <w:p w14:paraId="2710F278" w14:textId="1ADAF292" w:rsidR="009335E4" w:rsidRPr="009F2B53" w:rsidRDefault="009335E4" w:rsidP="009335E4">
      <w:pPr>
        <w:pStyle w:val="FootnoteText"/>
        <w:rPr>
          <w:sz w:val="24"/>
          <w:szCs w:val="24"/>
        </w:rPr>
      </w:pPr>
      <w:r w:rsidRPr="009F2B53">
        <w:rPr>
          <w:rStyle w:val="FootnoteReference"/>
          <w:sz w:val="24"/>
          <w:szCs w:val="24"/>
        </w:rPr>
        <w:footnoteRef/>
      </w:r>
      <w:r w:rsidRPr="009F2B53">
        <w:rPr>
          <w:sz w:val="24"/>
          <w:szCs w:val="24"/>
        </w:rPr>
        <w:t xml:space="preserve"> </w:t>
      </w:r>
      <w:r w:rsidR="007A20EC" w:rsidRPr="009F2B53">
        <w:rPr>
          <w:sz w:val="24"/>
          <w:szCs w:val="24"/>
        </w:rPr>
        <w:t xml:space="preserve">World Health Organization, </w:t>
      </w:r>
      <w:r w:rsidR="007A20EC" w:rsidRPr="009F2B53">
        <w:rPr>
          <w:i/>
          <w:iCs/>
          <w:sz w:val="24"/>
          <w:szCs w:val="24"/>
        </w:rPr>
        <w:t>Preparedness, Prevention and Control of COVID-19 in Prisons and Other Places of Detention</w:t>
      </w:r>
      <w:r w:rsidR="00DB0777" w:rsidRPr="009F2B53">
        <w:rPr>
          <w:sz w:val="24"/>
          <w:szCs w:val="24"/>
        </w:rPr>
        <w:t xml:space="preserve"> (Mar. 15, 2020) at 3.</w:t>
      </w:r>
    </w:p>
  </w:footnote>
  <w:footnote w:id="29">
    <w:p w14:paraId="79E8AD04" w14:textId="53F12768" w:rsidR="002C33FD" w:rsidRPr="009F2B53" w:rsidRDefault="002C33FD" w:rsidP="00F90BEE">
      <w:r w:rsidRPr="009F2B53">
        <w:rPr>
          <w:rStyle w:val="FootnoteReference"/>
        </w:rPr>
        <w:footnoteRef/>
      </w:r>
      <w:r w:rsidR="00F90BEE" w:rsidRPr="009F2B53">
        <w:t xml:space="preserve"> Penal Reform International, </w:t>
      </w:r>
      <w:r w:rsidR="00F90BEE" w:rsidRPr="009F2B53">
        <w:rPr>
          <w:i/>
          <w:iCs/>
        </w:rPr>
        <w:t>Coronavirus: Healthcare and Human Rights of People in Prison</w:t>
      </w:r>
      <w:r w:rsidR="00F90BEE" w:rsidRPr="009F2B53">
        <w:t xml:space="preserve"> (Mar. 16, 2020) at 4, available at</w:t>
      </w:r>
      <w:r w:rsidRPr="009F2B53">
        <w:t xml:space="preserve"> </w:t>
      </w:r>
      <w:hyperlink r:id="rId19" w:history="1">
        <w:r w:rsidRPr="009F2B53">
          <w:rPr>
            <w:rStyle w:val="Hyperlink"/>
          </w:rPr>
          <w:t>https://cdn.penalreform.org/wp-content/uploads/2020/03/FINAL-Briefing-Coronavirus.pdf</w:t>
        </w:r>
      </w:hyperlink>
      <w:r w:rsidR="00F90BEE" w:rsidRPr="009F2B53">
        <w:rPr>
          <w:rStyle w:val="Hyperlink"/>
        </w:rPr>
        <w:t>.</w:t>
      </w:r>
    </w:p>
  </w:footnote>
  <w:footnote w:id="30">
    <w:p w14:paraId="0AD0F2A5" w14:textId="5C988ACD" w:rsidR="002C33FD" w:rsidRPr="009F2B53" w:rsidRDefault="002C33FD" w:rsidP="00DB7BA1">
      <w:r w:rsidRPr="009F2B53">
        <w:rPr>
          <w:rStyle w:val="FootnoteReference"/>
        </w:rPr>
        <w:footnoteRef/>
      </w:r>
      <w:r w:rsidR="00004727" w:rsidRPr="009F2B53">
        <w:t xml:space="preserve"> </w:t>
      </w:r>
      <w:proofErr w:type="spellStart"/>
      <w:r w:rsidR="00004727" w:rsidRPr="009F2B53">
        <w:t>Pien</w:t>
      </w:r>
      <w:proofErr w:type="spellEnd"/>
      <w:r w:rsidR="00004727" w:rsidRPr="009F2B53">
        <w:t xml:space="preserve"> Huang, </w:t>
      </w:r>
      <w:r w:rsidR="00004727" w:rsidRPr="009F2B53">
        <w:rPr>
          <w:i/>
          <w:iCs/>
        </w:rPr>
        <w:t>How The Novel Coronavirus And The Flu Are Alike ... And Different</w:t>
      </w:r>
      <w:r w:rsidR="00004727" w:rsidRPr="009F2B53">
        <w:t>, NPR (Mar. 20, 2020),</w:t>
      </w:r>
      <w:r w:rsidRPr="009F2B53">
        <w:t xml:space="preserve"> </w:t>
      </w:r>
      <w:hyperlink r:id="rId20" w:history="1">
        <w:r w:rsidRPr="009F2B53">
          <w:rPr>
            <w:rStyle w:val="Hyperlink"/>
          </w:rPr>
          <w:t>https://www.npr.org/sections/goatsandsoda/2020/03/20/815408287/how-the-novel-coronavirus-and-the-flu-are-alike-and-different</w:t>
        </w:r>
      </w:hyperlink>
      <w:r w:rsidR="00004727" w:rsidRPr="009F2B53">
        <w:rPr>
          <w:rStyle w:val="Hyperlink"/>
        </w:rPr>
        <w:t xml:space="preserve"> (last visited Apr. 3, 2020)</w:t>
      </w:r>
      <w:r w:rsidRPr="009F2B53">
        <w:t xml:space="preserve"> (</w:t>
      </w:r>
      <w:r w:rsidR="00004727" w:rsidRPr="009F2B53">
        <w:t>noting that “each coronavirus case seems to infect about 2 to 2.5 additional people” while “[t]he average patient spreads the flu virus to about 1.3 others.”).</w:t>
      </w:r>
      <w:r w:rsidRPr="009F2B53">
        <w:t xml:space="preserve"> </w:t>
      </w:r>
    </w:p>
  </w:footnote>
  <w:footnote w:id="31">
    <w:p w14:paraId="620D2F47" w14:textId="3C8F2C95" w:rsidR="002C33FD" w:rsidRPr="009F2B53" w:rsidRDefault="002C33FD">
      <w:pPr>
        <w:pStyle w:val="FootnoteText"/>
        <w:rPr>
          <w:sz w:val="24"/>
          <w:szCs w:val="24"/>
        </w:rPr>
      </w:pPr>
      <w:r w:rsidRPr="009F2B53">
        <w:rPr>
          <w:rStyle w:val="FootnoteReference"/>
          <w:sz w:val="24"/>
          <w:szCs w:val="24"/>
        </w:rPr>
        <w:footnoteRef/>
      </w:r>
      <w:r w:rsidR="00004727" w:rsidRPr="009F2B53">
        <w:rPr>
          <w:sz w:val="24"/>
          <w:szCs w:val="24"/>
        </w:rPr>
        <w:t xml:space="preserve"> Center for Disease Control and Prevention, </w:t>
      </w:r>
      <w:r w:rsidR="00004727" w:rsidRPr="009F2B53">
        <w:rPr>
          <w:i/>
          <w:iCs/>
          <w:sz w:val="24"/>
          <w:szCs w:val="24"/>
        </w:rPr>
        <w:t>Interim Guidance on Management of Coronavirus Disease 2019 (COVID-19) in Correctional and Detention Facilities</w:t>
      </w:r>
      <w:r w:rsidR="00004727" w:rsidRPr="009F2B53">
        <w:rPr>
          <w:sz w:val="24"/>
          <w:szCs w:val="24"/>
        </w:rPr>
        <w:t xml:space="preserve"> (Mar. 23, 2020), available at</w:t>
      </w:r>
      <w:hyperlink r:id="rId21" w:history="1">
        <w:r w:rsidR="00004727" w:rsidRPr="009F2B53">
          <w:rPr>
            <w:rStyle w:val="Hyperlink"/>
            <w:sz w:val="24"/>
            <w:szCs w:val="24"/>
          </w:rPr>
          <w:t>https://www.cdc.gov/coronavirus/2019-ncov/community/correction-detention/guidance-correctional-detention.html</w:t>
        </w:r>
      </w:hyperlink>
      <w:r w:rsidR="00004727" w:rsidRPr="009F2B53">
        <w:rPr>
          <w:sz w:val="24"/>
          <w:szCs w:val="24"/>
        </w:rPr>
        <w:t>.</w:t>
      </w:r>
    </w:p>
  </w:footnote>
  <w:footnote w:id="32">
    <w:p w14:paraId="649D5475" w14:textId="5BAE356E" w:rsidR="00F86952" w:rsidRPr="009F2B53" w:rsidRDefault="00F86952">
      <w:pPr>
        <w:pStyle w:val="FootnoteText"/>
        <w:rPr>
          <w:sz w:val="24"/>
          <w:szCs w:val="24"/>
        </w:rPr>
      </w:pPr>
      <w:r w:rsidRPr="009F2B53">
        <w:rPr>
          <w:rStyle w:val="FootnoteReference"/>
          <w:sz w:val="24"/>
          <w:szCs w:val="24"/>
        </w:rPr>
        <w:footnoteRef/>
      </w:r>
      <w:r w:rsidRPr="009F2B53">
        <w:rPr>
          <w:sz w:val="24"/>
          <w:szCs w:val="24"/>
        </w:rPr>
        <w:t xml:space="preserve"> </w:t>
      </w:r>
      <w:r w:rsidR="00004727" w:rsidRPr="009F2B53">
        <w:rPr>
          <w:sz w:val="24"/>
          <w:szCs w:val="24"/>
        </w:rPr>
        <w:t xml:space="preserve">Molly </w:t>
      </w:r>
      <w:proofErr w:type="spellStart"/>
      <w:r w:rsidR="00004727" w:rsidRPr="009F2B53">
        <w:rPr>
          <w:sz w:val="24"/>
          <w:szCs w:val="24"/>
        </w:rPr>
        <w:t>Griffard</w:t>
      </w:r>
      <w:proofErr w:type="spellEnd"/>
      <w:r w:rsidR="00004727" w:rsidRPr="009F2B53">
        <w:rPr>
          <w:sz w:val="24"/>
          <w:szCs w:val="24"/>
        </w:rPr>
        <w:t xml:space="preserve"> (@</w:t>
      </w:r>
      <w:proofErr w:type="spellStart"/>
      <w:r w:rsidR="00004727" w:rsidRPr="009F2B53">
        <w:rPr>
          <w:sz w:val="24"/>
          <w:szCs w:val="24"/>
        </w:rPr>
        <w:t>MollyGriffard</w:t>
      </w:r>
      <w:proofErr w:type="spellEnd"/>
      <w:r w:rsidR="00004727" w:rsidRPr="009F2B53">
        <w:rPr>
          <w:sz w:val="24"/>
          <w:szCs w:val="24"/>
        </w:rPr>
        <w:t xml:space="preserve">), Twitter (Mar. 24, 2020, 2:42PM), </w:t>
      </w:r>
      <w:hyperlink r:id="rId22" w:history="1">
        <w:r w:rsidR="00004727" w:rsidRPr="009F2B53">
          <w:rPr>
            <w:rStyle w:val="Hyperlink"/>
            <w:sz w:val="24"/>
            <w:szCs w:val="24"/>
          </w:rPr>
          <w:t>https://twitter.com/MollyGriffard/status/1242522219147939840/photo/1</w:t>
        </w:r>
      </w:hyperlink>
      <w:r w:rsidR="00004727" w:rsidRPr="009F2B53">
        <w:rPr>
          <w:sz w:val="24"/>
          <w:szCs w:val="24"/>
        </w:rPr>
        <w:t>.</w:t>
      </w:r>
    </w:p>
  </w:footnote>
  <w:footnote w:id="33">
    <w:p w14:paraId="46F583EF" w14:textId="5270DC57" w:rsidR="002C33FD" w:rsidRPr="009F2B53" w:rsidRDefault="002C33FD" w:rsidP="00DC77E0">
      <w:pPr>
        <w:pStyle w:val="FootnoteText"/>
        <w:rPr>
          <w:sz w:val="24"/>
          <w:szCs w:val="24"/>
        </w:rPr>
      </w:pPr>
      <w:r w:rsidRPr="009F2B53">
        <w:rPr>
          <w:rStyle w:val="FootnoteReference"/>
          <w:sz w:val="24"/>
          <w:szCs w:val="24"/>
        </w:rPr>
        <w:footnoteRef/>
      </w:r>
      <w:r w:rsidRPr="009F2B53">
        <w:rPr>
          <w:sz w:val="24"/>
          <w:szCs w:val="24"/>
        </w:rPr>
        <w:t xml:space="preserve"> </w:t>
      </w:r>
      <w:r w:rsidR="00DB0777" w:rsidRPr="009F2B53">
        <w:rPr>
          <w:sz w:val="24"/>
          <w:szCs w:val="24"/>
        </w:rPr>
        <w:t xml:space="preserve">Michelle Bachelet, </w:t>
      </w:r>
      <w:r w:rsidR="00DB0777" w:rsidRPr="009F2B53">
        <w:rPr>
          <w:i/>
          <w:iCs/>
          <w:sz w:val="24"/>
          <w:szCs w:val="24"/>
        </w:rPr>
        <w:t>Urgent Action Needed to Prevent COVID-19 “Rampaging Through Places of Detention”</w:t>
      </w:r>
      <w:r w:rsidR="00DB0777" w:rsidRPr="009F2B53">
        <w:rPr>
          <w:sz w:val="24"/>
          <w:szCs w:val="24"/>
        </w:rPr>
        <w:t xml:space="preserve"> (Mar. 25, 2020), </w:t>
      </w:r>
      <w:hyperlink r:id="rId23" w:history="1">
        <w:r w:rsidR="00955530" w:rsidRPr="009F2B53">
          <w:rPr>
            <w:rStyle w:val="Hyperlink"/>
            <w:sz w:val="24"/>
            <w:szCs w:val="24"/>
          </w:rPr>
          <w:t>https://www.ohchr.org/EN/NewsEvents/Pages/DisplayNews.aspx?NewsID=25745&amp;LangID=E</w:t>
        </w:r>
      </w:hyperlink>
      <w:r w:rsidRPr="009F2B53">
        <w:rPr>
          <w:sz w:val="24"/>
          <w:szCs w:val="24"/>
        </w:rPr>
        <w:t xml:space="preserve"> </w:t>
      </w:r>
    </w:p>
  </w:footnote>
  <w:footnote w:id="34">
    <w:p w14:paraId="7B9F9E0D" w14:textId="6BF65FB4" w:rsidR="0051159B" w:rsidRPr="009F2B53" w:rsidRDefault="0051159B">
      <w:pPr>
        <w:pStyle w:val="FootnoteText"/>
        <w:rPr>
          <w:sz w:val="24"/>
          <w:szCs w:val="24"/>
        </w:rPr>
      </w:pPr>
      <w:r w:rsidRPr="009F2B53">
        <w:rPr>
          <w:rStyle w:val="FootnoteReference"/>
          <w:sz w:val="24"/>
          <w:szCs w:val="24"/>
        </w:rPr>
        <w:footnoteRef/>
      </w:r>
      <w:r w:rsidRPr="009F2B53">
        <w:rPr>
          <w:sz w:val="24"/>
          <w:szCs w:val="24"/>
        </w:rPr>
        <w:t xml:space="preserve"> </w:t>
      </w:r>
      <w:r w:rsidR="00955530" w:rsidRPr="009F2B53">
        <w:rPr>
          <w:sz w:val="24"/>
          <w:szCs w:val="24"/>
        </w:rPr>
        <w:t>Subc</w:t>
      </w:r>
      <w:r w:rsidR="00534966" w:rsidRPr="009F2B53">
        <w:rPr>
          <w:sz w:val="24"/>
          <w:szCs w:val="24"/>
        </w:rPr>
        <w:t xml:space="preserve">ommittee on Prevention of Torture, </w:t>
      </w:r>
      <w:r w:rsidR="00534966" w:rsidRPr="009F2B53">
        <w:rPr>
          <w:i/>
          <w:iCs/>
          <w:sz w:val="24"/>
          <w:szCs w:val="24"/>
        </w:rPr>
        <w:t>Advice of the Subcommittee on Prevention of Torture to States Parties and National Preventive Mechanisms Relating to the Coronavirus Pandemic</w:t>
      </w:r>
      <w:r w:rsidR="00534966" w:rsidRPr="009F2B53">
        <w:rPr>
          <w:sz w:val="24"/>
          <w:szCs w:val="24"/>
        </w:rPr>
        <w:t xml:space="preserve"> (Mar. 25, 2020)</w:t>
      </w:r>
      <w:r w:rsidR="00AB6613" w:rsidRPr="009F2B53">
        <w:rPr>
          <w:sz w:val="24"/>
          <w:szCs w:val="24"/>
        </w:rPr>
        <w:t xml:space="preserve"> at 3.</w:t>
      </w:r>
      <w:r w:rsidRPr="009F2B53">
        <w:rPr>
          <w:sz w:val="24"/>
          <w:szCs w:val="24"/>
        </w:rPr>
        <w:t xml:space="preserve"> </w:t>
      </w:r>
    </w:p>
  </w:footnote>
  <w:footnote w:id="35">
    <w:p w14:paraId="09F5B77F" w14:textId="76ACE1DC" w:rsidR="005005E6" w:rsidRPr="009F2B53" w:rsidRDefault="005005E6" w:rsidP="005005E6">
      <w:pPr>
        <w:rPr>
          <w:highlight w:val="cyan"/>
        </w:rPr>
      </w:pPr>
      <w:r w:rsidRPr="009F2B53">
        <w:rPr>
          <w:rStyle w:val="FootnoteReference"/>
        </w:rPr>
        <w:footnoteRef/>
      </w:r>
      <w:r w:rsidR="0083705B" w:rsidRPr="009F2B53">
        <w:t xml:space="preserve"> Council of Europe, Statement of principles relating to the treatment of persons deprived of their liberty in the context of the coronavirus disease (COVID-19) pandemic</w:t>
      </w:r>
      <w:r w:rsidR="00DB5210" w:rsidRPr="009F2B53">
        <w:t>, CPT/Inf(2020)13 (Mar. 20, 2020) at 1.</w:t>
      </w:r>
    </w:p>
  </w:footnote>
  <w:footnote w:id="36">
    <w:p w14:paraId="2C262289" w14:textId="6278430A" w:rsidR="002C33FD" w:rsidRPr="009F2B53" w:rsidRDefault="002C33FD" w:rsidP="00A751CC">
      <w:r w:rsidRPr="009F2B53">
        <w:rPr>
          <w:rStyle w:val="FootnoteReference"/>
        </w:rPr>
        <w:footnoteRef/>
      </w:r>
      <w:r w:rsidRPr="009F2B53">
        <w:t xml:space="preserve"> </w:t>
      </w:r>
      <w:r w:rsidR="007F0504" w:rsidRPr="009F2B53">
        <w:t xml:space="preserve">Inter-Agency Standing Committee, </w:t>
      </w:r>
      <w:r w:rsidR="007F0504" w:rsidRPr="009F2B53">
        <w:rPr>
          <w:i/>
          <w:iCs/>
        </w:rPr>
        <w:t>COVID-19: Focus on Persons Deprived of Their Liberty</w:t>
      </w:r>
      <w:r w:rsidR="007F0504" w:rsidRPr="009F2B53">
        <w:t xml:space="preserve"> (Mar. 27, 2020) at 3.</w:t>
      </w:r>
    </w:p>
  </w:footnote>
  <w:footnote w:id="37">
    <w:p w14:paraId="63863380" w14:textId="64EDDBA6" w:rsidR="002C33FD" w:rsidRPr="009F2B53" w:rsidRDefault="002C33FD">
      <w:pPr>
        <w:pStyle w:val="FootnoteText"/>
        <w:rPr>
          <w:sz w:val="24"/>
          <w:szCs w:val="24"/>
        </w:rPr>
      </w:pPr>
      <w:r w:rsidRPr="009F2B53">
        <w:rPr>
          <w:rStyle w:val="FootnoteReference"/>
          <w:sz w:val="24"/>
          <w:szCs w:val="24"/>
        </w:rPr>
        <w:footnoteRef/>
      </w:r>
      <w:r w:rsidR="00CD4415" w:rsidRPr="009F2B53">
        <w:rPr>
          <w:sz w:val="24"/>
          <w:szCs w:val="24"/>
        </w:rPr>
        <w:t xml:space="preserve"> </w:t>
      </w:r>
      <w:proofErr w:type="gramStart"/>
      <w:r w:rsidR="00CD4415" w:rsidRPr="009F2B53">
        <w:rPr>
          <w:sz w:val="24"/>
          <w:szCs w:val="24"/>
        </w:rPr>
        <w:t>Bachelet,</w:t>
      </w:r>
      <w:proofErr w:type="gramEnd"/>
      <w:r w:rsidR="00CD4415" w:rsidRPr="009F2B53">
        <w:rPr>
          <w:sz w:val="24"/>
          <w:szCs w:val="24"/>
        </w:rPr>
        <w:t xml:space="preserve"> </w:t>
      </w:r>
      <w:r w:rsidR="00CD4415" w:rsidRPr="009F2B53">
        <w:rPr>
          <w:i/>
          <w:iCs/>
          <w:sz w:val="24"/>
          <w:szCs w:val="24"/>
        </w:rPr>
        <w:t>supra</w:t>
      </w:r>
      <w:r w:rsidR="00CD4415" w:rsidRPr="009F2B53">
        <w:rPr>
          <w:sz w:val="24"/>
          <w:szCs w:val="24"/>
        </w:rPr>
        <w:t xml:space="preserve"> note 27.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254C1" w14:textId="77777777" w:rsidR="002C33FD" w:rsidRDefault="002C33F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28B6002" wp14:editId="37EEEB71">
              <wp:simplePos x="0" y="0"/>
              <wp:positionH relativeFrom="page">
                <wp:posOffset>804545</wp:posOffset>
              </wp:positionH>
              <wp:positionV relativeFrom="page">
                <wp:posOffset>172085</wp:posOffset>
              </wp:positionV>
              <wp:extent cx="6147435" cy="189230"/>
              <wp:effectExtent l="4445" t="635"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5706" w14:textId="77777777" w:rsidR="002C33FD" w:rsidRDefault="002C33FD">
                          <w:pPr>
                            <w:tabs>
                              <w:tab w:val="left" w:pos="6827"/>
                            </w:tabs>
                            <w:spacing w:before="12"/>
                            <w:ind w:left="20"/>
                            <w:rPr>
                              <w:rFonts w:ascii="Arial"/>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B6002" id="_x0000_t202" coordsize="21600,21600" o:spt="202" path="m,l,21600r21600,l21600,xe">
              <v:stroke joinstyle="miter"/>
              <v:path gradientshapeok="t" o:connecttype="rect"/>
            </v:shapetype>
            <v:shape id="Text Box 2" o:spid="_x0000_s1026" type="#_x0000_t202" style="position:absolute;margin-left:63.35pt;margin-top:13.55pt;width:484.05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" filled="f" stroked="f">
              <v:textbox inset="0,0,0,0">
                <w:txbxContent>
                  <w:p w14:paraId="06CC5706" w14:textId="77777777" w:rsidR="002C33FD" w:rsidRDefault="002C33FD">
                    <w:pPr>
                      <w:tabs>
                        <w:tab w:val="left" w:pos="6827"/>
                      </w:tabs>
                      <w:spacing w:before="12"/>
                      <w:ind w:left="20"/>
                      <w:rPr>
                        <w:rFonts w:ascii="Arial"/>
                        <w:sz w:val="23"/>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22B"/>
    <w:multiLevelType w:val="hybridMultilevel"/>
    <w:tmpl w:val="EB54B4C4"/>
    <w:lvl w:ilvl="0" w:tplc="47FAC44A">
      <w:start w:val="1"/>
      <w:numFmt w:val="lowerRoman"/>
      <w:lvlText w:val="(%1)"/>
      <w:lvlJc w:val="left"/>
      <w:pPr>
        <w:ind w:left="820" w:hanging="287"/>
      </w:pPr>
      <w:rPr>
        <w:rFonts w:ascii="Times New Roman" w:eastAsia="Times New Roman" w:hAnsi="Times New Roman" w:cs="Times New Roman" w:hint="default"/>
        <w:b/>
        <w:bCs/>
        <w:w w:val="100"/>
        <w:sz w:val="24"/>
        <w:szCs w:val="24"/>
      </w:rPr>
    </w:lvl>
    <w:lvl w:ilvl="1" w:tplc="FD6A67FC">
      <w:start w:val="1"/>
      <w:numFmt w:val="decimal"/>
      <w:lvlText w:val="(%2)"/>
      <w:lvlJc w:val="left"/>
      <w:pPr>
        <w:ind w:left="820" w:hanging="339"/>
      </w:pPr>
      <w:rPr>
        <w:rFonts w:ascii="Times New Roman" w:eastAsia="Times New Roman" w:hAnsi="Times New Roman" w:cs="Times New Roman" w:hint="default"/>
        <w:b/>
        <w:bCs/>
        <w:w w:val="99"/>
        <w:sz w:val="24"/>
        <w:szCs w:val="24"/>
      </w:rPr>
    </w:lvl>
    <w:lvl w:ilvl="2" w:tplc="952AEB86">
      <w:numFmt w:val="bullet"/>
      <w:lvlText w:val="•"/>
      <w:lvlJc w:val="left"/>
      <w:pPr>
        <w:ind w:left="2572" w:hanging="339"/>
      </w:pPr>
      <w:rPr>
        <w:rFonts w:hint="default"/>
      </w:rPr>
    </w:lvl>
    <w:lvl w:ilvl="3" w:tplc="1F9E57AA">
      <w:numFmt w:val="bullet"/>
      <w:lvlText w:val="•"/>
      <w:lvlJc w:val="left"/>
      <w:pPr>
        <w:ind w:left="3448" w:hanging="339"/>
      </w:pPr>
      <w:rPr>
        <w:rFonts w:hint="default"/>
      </w:rPr>
    </w:lvl>
    <w:lvl w:ilvl="4" w:tplc="9CECA5BA">
      <w:numFmt w:val="bullet"/>
      <w:lvlText w:val="•"/>
      <w:lvlJc w:val="left"/>
      <w:pPr>
        <w:ind w:left="4324" w:hanging="339"/>
      </w:pPr>
      <w:rPr>
        <w:rFonts w:hint="default"/>
      </w:rPr>
    </w:lvl>
    <w:lvl w:ilvl="5" w:tplc="6D8ABFCE">
      <w:numFmt w:val="bullet"/>
      <w:lvlText w:val="•"/>
      <w:lvlJc w:val="left"/>
      <w:pPr>
        <w:ind w:left="5200" w:hanging="339"/>
      </w:pPr>
      <w:rPr>
        <w:rFonts w:hint="default"/>
      </w:rPr>
    </w:lvl>
    <w:lvl w:ilvl="6" w:tplc="EF9A8D6A">
      <w:numFmt w:val="bullet"/>
      <w:lvlText w:val="•"/>
      <w:lvlJc w:val="left"/>
      <w:pPr>
        <w:ind w:left="6076" w:hanging="339"/>
      </w:pPr>
      <w:rPr>
        <w:rFonts w:hint="default"/>
      </w:rPr>
    </w:lvl>
    <w:lvl w:ilvl="7" w:tplc="BC386AB8">
      <w:numFmt w:val="bullet"/>
      <w:lvlText w:val="•"/>
      <w:lvlJc w:val="left"/>
      <w:pPr>
        <w:ind w:left="6952" w:hanging="339"/>
      </w:pPr>
      <w:rPr>
        <w:rFonts w:hint="default"/>
      </w:rPr>
    </w:lvl>
    <w:lvl w:ilvl="8" w:tplc="810AEE58">
      <w:numFmt w:val="bullet"/>
      <w:lvlText w:val="•"/>
      <w:lvlJc w:val="left"/>
      <w:pPr>
        <w:ind w:left="7828" w:hanging="339"/>
      </w:pPr>
      <w:rPr>
        <w:rFonts w:hint="default"/>
      </w:rPr>
    </w:lvl>
  </w:abstractNum>
  <w:abstractNum w:abstractNumId="1" w15:restartNumberingAfterBreak="0">
    <w:nsid w:val="274663C6"/>
    <w:multiLevelType w:val="hybridMultilevel"/>
    <w:tmpl w:val="EAFEA3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5F57EF"/>
    <w:multiLevelType w:val="hybridMultilevel"/>
    <w:tmpl w:val="544074D4"/>
    <w:lvl w:ilvl="0" w:tplc="7048ED08">
      <w:start w:val="1"/>
      <w:numFmt w:val="decimal"/>
      <w:lvlText w:val="%1."/>
      <w:lvlJc w:val="left"/>
      <w:pPr>
        <w:ind w:left="2260" w:hanging="720"/>
      </w:pPr>
      <w:rPr>
        <w:rFonts w:ascii="Times New Roman" w:eastAsia="Times New Roman" w:hAnsi="Times New Roman" w:cs="Times New Roman" w:hint="default"/>
        <w:spacing w:val="-8"/>
        <w:w w:val="99"/>
        <w:sz w:val="24"/>
        <w:szCs w:val="24"/>
      </w:rPr>
    </w:lvl>
    <w:lvl w:ilvl="1" w:tplc="E24E6E10">
      <w:numFmt w:val="bullet"/>
      <w:lvlText w:val="•"/>
      <w:lvlJc w:val="left"/>
      <w:pPr>
        <w:ind w:left="2992" w:hanging="720"/>
      </w:pPr>
      <w:rPr>
        <w:rFonts w:hint="default"/>
      </w:rPr>
    </w:lvl>
    <w:lvl w:ilvl="2" w:tplc="C4161B38">
      <w:numFmt w:val="bullet"/>
      <w:lvlText w:val="•"/>
      <w:lvlJc w:val="left"/>
      <w:pPr>
        <w:ind w:left="3724" w:hanging="720"/>
      </w:pPr>
      <w:rPr>
        <w:rFonts w:hint="default"/>
      </w:rPr>
    </w:lvl>
    <w:lvl w:ilvl="3" w:tplc="8F808580">
      <w:numFmt w:val="bullet"/>
      <w:lvlText w:val="•"/>
      <w:lvlJc w:val="left"/>
      <w:pPr>
        <w:ind w:left="4456" w:hanging="720"/>
      </w:pPr>
      <w:rPr>
        <w:rFonts w:hint="default"/>
      </w:rPr>
    </w:lvl>
    <w:lvl w:ilvl="4" w:tplc="2938B26A">
      <w:numFmt w:val="bullet"/>
      <w:lvlText w:val="•"/>
      <w:lvlJc w:val="left"/>
      <w:pPr>
        <w:ind w:left="5188" w:hanging="720"/>
      </w:pPr>
      <w:rPr>
        <w:rFonts w:hint="default"/>
      </w:rPr>
    </w:lvl>
    <w:lvl w:ilvl="5" w:tplc="32BCA51A">
      <w:numFmt w:val="bullet"/>
      <w:lvlText w:val="•"/>
      <w:lvlJc w:val="left"/>
      <w:pPr>
        <w:ind w:left="5920" w:hanging="720"/>
      </w:pPr>
      <w:rPr>
        <w:rFonts w:hint="default"/>
      </w:rPr>
    </w:lvl>
    <w:lvl w:ilvl="6" w:tplc="71FC5BB4">
      <w:numFmt w:val="bullet"/>
      <w:lvlText w:val="•"/>
      <w:lvlJc w:val="left"/>
      <w:pPr>
        <w:ind w:left="6652" w:hanging="720"/>
      </w:pPr>
      <w:rPr>
        <w:rFonts w:hint="default"/>
      </w:rPr>
    </w:lvl>
    <w:lvl w:ilvl="7" w:tplc="81B6BE12">
      <w:numFmt w:val="bullet"/>
      <w:lvlText w:val="•"/>
      <w:lvlJc w:val="left"/>
      <w:pPr>
        <w:ind w:left="7384" w:hanging="720"/>
      </w:pPr>
      <w:rPr>
        <w:rFonts w:hint="default"/>
      </w:rPr>
    </w:lvl>
    <w:lvl w:ilvl="8" w:tplc="455C436C">
      <w:numFmt w:val="bullet"/>
      <w:lvlText w:val="•"/>
      <w:lvlJc w:val="left"/>
      <w:pPr>
        <w:ind w:left="8116" w:hanging="720"/>
      </w:pPr>
      <w:rPr>
        <w:rFonts w:hint="default"/>
      </w:rPr>
    </w:lvl>
  </w:abstractNum>
  <w:abstractNum w:abstractNumId="3" w15:restartNumberingAfterBreak="0">
    <w:nsid w:val="326F08F8"/>
    <w:multiLevelType w:val="hybridMultilevel"/>
    <w:tmpl w:val="48DA5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747CC"/>
    <w:multiLevelType w:val="hybridMultilevel"/>
    <w:tmpl w:val="B12C7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0F7C15"/>
    <w:multiLevelType w:val="hybridMultilevel"/>
    <w:tmpl w:val="5B621BBC"/>
    <w:lvl w:ilvl="0" w:tplc="B43CD0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56016"/>
    <w:multiLevelType w:val="hybridMultilevel"/>
    <w:tmpl w:val="3BE0609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D2C23"/>
    <w:multiLevelType w:val="hybridMultilevel"/>
    <w:tmpl w:val="FF72413A"/>
    <w:lvl w:ilvl="0" w:tplc="B3069244">
      <w:start w:val="1"/>
      <w:numFmt w:val="upperLetter"/>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B2415"/>
    <w:multiLevelType w:val="hybridMultilevel"/>
    <w:tmpl w:val="6F6027F2"/>
    <w:lvl w:ilvl="0" w:tplc="CD586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8"/>
  </w:num>
  <w:num w:numId="5">
    <w:abstractNumId w:val="1"/>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C4"/>
    <w:rsid w:val="000019B2"/>
    <w:rsid w:val="00002F90"/>
    <w:rsid w:val="00004727"/>
    <w:rsid w:val="00006DC5"/>
    <w:rsid w:val="00007F9C"/>
    <w:rsid w:val="00011929"/>
    <w:rsid w:val="00043A2A"/>
    <w:rsid w:val="000449F8"/>
    <w:rsid w:val="00051F0A"/>
    <w:rsid w:val="00057D2B"/>
    <w:rsid w:val="000602A5"/>
    <w:rsid w:val="000A4F85"/>
    <w:rsid w:val="000A798D"/>
    <w:rsid w:val="000A7BF0"/>
    <w:rsid w:val="000C0376"/>
    <w:rsid w:val="000C18B5"/>
    <w:rsid w:val="000C527D"/>
    <w:rsid w:val="000D3308"/>
    <w:rsid w:val="000E2216"/>
    <w:rsid w:val="000E289B"/>
    <w:rsid w:val="00113AA1"/>
    <w:rsid w:val="001509A0"/>
    <w:rsid w:val="00151D3B"/>
    <w:rsid w:val="0018194B"/>
    <w:rsid w:val="00186350"/>
    <w:rsid w:val="001A6FA7"/>
    <w:rsid w:val="001D097A"/>
    <w:rsid w:val="001E0F09"/>
    <w:rsid w:val="001E13DE"/>
    <w:rsid w:val="001E46D6"/>
    <w:rsid w:val="001F3680"/>
    <w:rsid w:val="001F452A"/>
    <w:rsid w:val="00210C0E"/>
    <w:rsid w:val="0021413B"/>
    <w:rsid w:val="00244DB7"/>
    <w:rsid w:val="00253B5A"/>
    <w:rsid w:val="00255697"/>
    <w:rsid w:val="0028298A"/>
    <w:rsid w:val="00283471"/>
    <w:rsid w:val="00284CC7"/>
    <w:rsid w:val="002A2CE9"/>
    <w:rsid w:val="002C2AFC"/>
    <w:rsid w:val="002C33FD"/>
    <w:rsid w:val="002C7324"/>
    <w:rsid w:val="002D4B21"/>
    <w:rsid w:val="002F5260"/>
    <w:rsid w:val="003026EB"/>
    <w:rsid w:val="00302884"/>
    <w:rsid w:val="00305CD3"/>
    <w:rsid w:val="00306275"/>
    <w:rsid w:val="00311B0F"/>
    <w:rsid w:val="003217BE"/>
    <w:rsid w:val="00326DC7"/>
    <w:rsid w:val="0036211C"/>
    <w:rsid w:val="003672CF"/>
    <w:rsid w:val="003730D6"/>
    <w:rsid w:val="0037590E"/>
    <w:rsid w:val="00386B6C"/>
    <w:rsid w:val="0038763B"/>
    <w:rsid w:val="003D17C4"/>
    <w:rsid w:val="003E153C"/>
    <w:rsid w:val="003E191C"/>
    <w:rsid w:val="004031D0"/>
    <w:rsid w:val="004243C0"/>
    <w:rsid w:val="00443062"/>
    <w:rsid w:val="00445F08"/>
    <w:rsid w:val="00473811"/>
    <w:rsid w:val="0047697D"/>
    <w:rsid w:val="00482754"/>
    <w:rsid w:val="004D10D9"/>
    <w:rsid w:val="004D6ED0"/>
    <w:rsid w:val="004F6AD4"/>
    <w:rsid w:val="005005E6"/>
    <w:rsid w:val="0050701F"/>
    <w:rsid w:val="0051159B"/>
    <w:rsid w:val="00515AEB"/>
    <w:rsid w:val="00534966"/>
    <w:rsid w:val="00535648"/>
    <w:rsid w:val="005379D4"/>
    <w:rsid w:val="00540DDA"/>
    <w:rsid w:val="0054196B"/>
    <w:rsid w:val="00592A13"/>
    <w:rsid w:val="005945EE"/>
    <w:rsid w:val="005A797B"/>
    <w:rsid w:val="005E55C6"/>
    <w:rsid w:val="005E57D6"/>
    <w:rsid w:val="00610B65"/>
    <w:rsid w:val="00613ABC"/>
    <w:rsid w:val="00613BB2"/>
    <w:rsid w:val="00624AE0"/>
    <w:rsid w:val="006331B7"/>
    <w:rsid w:val="00653229"/>
    <w:rsid w:val="00660D84"/>
    <w:rsid w:val="00661D87"/>
    <w:rsid w:val="006939DC"/>
    <w:rsid w:val="006C2134"/>
    <w:rsid w:val="006D1850"/>
    <w:rsid w:val="006D4702"/>
    <w:rsid w:val="006E5F68"/>
    <w:rsid w:val="007159AD"/>
    <w:rsid w:val="00725431"/>
    <w:rsid w:val="00733A70"/>
    <w:rsid w:val="00741BAC"/>
    <w:rsid w:val="00785962"/>
    <w:rsid w:val="00787C02"/>
    <w:rsid w:val="007A20EC"/>
    <w:rsid w:val="007A5B85"/>
    <w:rsid w:val="007B62CB"/>
    <w:rsid w:val="007D3120"/>
    <w:rsid w:val="007E3B1A"/>
    <w:rsid w:val="007E6329"/>
    <w:rsid w:val="007F0504"/>
    <w:rsid w:val="00801278"/>
    <w:rsid w:val="00803F49"/>
    <w:rsid w:val="00814C24"/>
    <w:rsid w:val="00815625"/>
    <w:rsid w:val="0083705B"/>
    <w:rsid w:val="00877D5C"/>
    <w:rsid w:val="00895BFB"/>
    <w:rsid w:val="008A0BCA"/>
    <w:rsid w:val="008A5B87"/>
    <w:rsid w:val="008C074C"/>
    <w:rsid w:val="008C20FF"/>
    <w:rsid w:val="008C4215"/>
    <w:rsid w:val="008C58BC"/>
    <w:rsid w:val="008D5772"/>
    <w:rsid w:val="008E211A"/>
    <w:rsid w:val="008E629D"/>
    <w:rsid w:val="008F6D74"/>
    <w:rsid w:val="009335E4"/>
    <w:rsid w:val="009427FD"/>
    <w:rsid w:val="00950225"/>
    <w:rsid w:val="00951AA3"/>
    <w:rsid w:val="00955530"/>
    <w:rsid w:val="00956B81"/>
    <w:rsid w:val="0097795C"/>
    <w:rsid w:val="0097796C"/>
    <w:rsid w:val="009830DF"/>
    <w:rsid w:val="009900C4"/>
    <w:rsid w:val="00990C09"/>
    <w:rsid w:val="009B443C"/>
    <w:rsid w:val="009D7F18"/>
    <w:rsid w:val="009F2B53"/>
    <w:rsid w:val="009F31A9"/>
    <w:rsid w:val="009F640B"/>
    <w:rsid w:val="009F690B"/>
    <w:rsid w:val="00A124AE"/>
    <w:rsid w:val="00A235F6"/>
    <w:rsid w:val="00A266B9"/>
    <w:rsid w:val="00A41193"/>
    <w:rsid w:val="00A52ACC"/>
    <w:rsid w:val="00A72033"/>
    <w:rsid w:val="00A751CC"/>
    <w:rsid w:val="00A9412F"/>
    <w:rsid w:val="00AA28B1"/>
    <w:rsid w:val="00AA4FAA"/>
    <w:rsid w:val="00AB023E"/>
    <w:rsid w:val="00AB6613"/>
    <w:rsid w:val="00AF0C0D"/>
    <w:rsid w:val="00AF1F64"/>
    <w:rsid w:val="00B04694"/>
    <w:rsid w:val="00B0604E"/>
    <w:rsid w:val="00B22F8A"/>
    <w:rsid w:val="00B36902"/>
    <w:rsid w:val="00B43D2F"/>
    <w:rsid w:val="00B52DF4"/>
    <w:rsid w:val="00B61607"/>
    <w:rsid w:val="00B74DC3"/>
    <w:rsid w:val="00B912E7"/>
    <w:rsid w:val="00B934D0"/>
    <w:rsid w:val="00B97315"/>
    <w:rsid w:val="00BA2993"/>
    <w:rsid w:val="00BB3DB6"/>
    <w:rsid w:val="00BB4D58"/>
    <w:rsid w:val="00BC3BB0"/>
    <w:rsid w:val="00BC5A55"/>
    <w:rsid w:val="00BD6F4B"/>
    <w:rsid w:val="00BE1C52"/>
    <w:rsid w:val="00BE2261"/>
    <w:rsid w:val="00BE6DC8"/>
    <w:rsid w:val="00BF3AF6"/>
    <w:rsid w:val="00C54592"/>
    <w:rsid w:val="00C549F8"/>
    <w:rsid w:val="00C61BAA"/>
    <w:rsid w:val="00C76A7D"/>
    <w:rsid w:val="00C770BD"/>
    <w:rsid w:val="00C91288"/>
    <w:rsid w:val="00CC6EEA"/>
    <w:rsid w:val="00CD0F4C"/>
    <w:rsid w:val="00CD4415"/>
    <w:rsid w:val="00CE2B5F"/>
    <w:rsid w:val="00CE5616"/>
    <w:rsid w:val="00CF3852"/>
    <w:rsid w:val="00D0435E"/>
    <w:rsid w:val="00D16E78"/>
    <w:rsid w:val="00D209D9"/>
    <w:rsid w:val="00D41424"/>
    <w:rsid w:val="00D52C8E"/>
    <w:rsid w:val="00D5572A"/>
    <w:rsid w:val="00D5643A"/>
    <w:rsid w:val="00D6651D"/>
    <w:rsid w:val="00D83108"/>
    <w:rsid w:val="00DA1308"/>
    <w:rsid w:val="00DB0777"/>
    <w:rsid w:val="00DB43A7"/>
    <w:rsid w:val="00DB5210"/>
    <w:rsid w:val="00DB7BA1"/>
    <w:rsid w:val="00DC07A6"/>
    <w:rsid w:val="00DC6907"/>
    <w:rsid w:val="00DC77E0"/>
    <w:rsid w:val="00DD2C06"/>
    <w:rsid w:val="00DD482F"/>
    <w:rsid w:val="00DE364D"/>
    <w:rsid w:val="00DE6691"/>
    <w:rsid w:val="00DF4BAA"/>
    <w:rsid w:val="00E012DC"/>
    <w:rsid w:val="00E1294B"/>
    <w:rsid w:val="00E136FF"/>
    <w:rsid w:val="00E16157"/>
    <w:rsid w:val="00E16CE2"/>
    <w:rsid w:val="00E3507C"/>
    <w:rsid w:val="00E40875"/>
    <w:rsid w:val="00E43F6B"/>
    <w:rsid w:val="00E442B7"/>
    <w:rsid w:val="00E473DF"/>
    <w:rsid w:val="00E5328B"/>
    <w:rsid w:val="00E60323"/>
    <w:rsid w:val="00E70EE9"/>
    <w:rsid w:val="00E86FF4"/>
    <w:rsid w:val="00E917C0"/>
    <w:rsid w:val="00EA0C92"/>
    <w:rsid w:val="00EA7723"/>
    <w:rsid w:val="00EB2655"/>
    <w:rsid w:val="00EC1262"/>
    <w:rsid w:val="00F0020D"/>
    <w:rsid w:val="00F17356"/>
    <w:rsid w:val="00F21047"/>
    <w:rsid w:val="00F2668B"/>
    <w:rsid w:val="00F573A2"/>
    <w:rsid w:val="00F729D1"/>
    <w:rsid w:val="00F85E85"/>
    <w:rsid w:val="00F86952"/>
    <w:rsid w:val="00F87BB9"/>
    <w:rsid w:val="00F90BEE"/>
    <w:rsid w:val="00F92E55"/>
    <w:rsid w:val="00FD2687"/>
    <w:rsid w:val="00FD5887"/>
    <w:rsid w:val="00FF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E6D7D1"/>
  <w15:chartTrackingRefBased/>
  <w15:docId w15:val="{45F9652A-5A4E-4D79-94F6-0F9F8501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5115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00C4"/>
    <w:pPr>
      <w:widowControl w:val="0"/>
      <w:autoSpaceDE w:val="0"/>
      <w:autoSpaceDN w:val="0"/>
    </w:pPr>
    <w:rPr>
      <w:sz w:val="22"/>
      <w:szCs w:val="22"/>
    </w:rPr>
  </w:style>
  <w:style w:type="character" w:customStyle="1" w:styleId="BodyTextChar">
    <w:name w:val="Body Text Char"/>
    <w:basedOn w:val="DefaultParagraphFont"/>
    <w:link w:val="BodyText"/>
    <w:uiPriority w:val="1"/>
    <w:rsid w:val="009900C4"/>
    <w:rPr>
      <w:rFonts w:ascii="Times New Roman" w:eastAsia="Times New Roman" w:hAnsi="Times New Roman" w:cs="Times New Roman"/>
    </w:rPr>
  </w:style>
  <w:style w:type="paragraph" w:styleId="Header">
    <w:name w:val="header"/>
    <w:basedOn w:val="Normal"/>
    <w:link w:val="HeaderChar"/>
    <w:uiPriority w:val="99"/>
    <w:unhideWhenUsed/>
    <w:rsid w:val="009900C4"/>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9900C4"/>
    <w:rPr>
      <w:rFonts w:ascii="Times New Roman" w:eastAsia="Times New Roman" w:hAnsi="Times New Roman" w:cs="Times New Roman"/>
    </w:rPr>
  </w:style>
  <w:style w:type="paragraph" w:styleId="Footer">
    <w:name w:val="footer"/>
    <w:basedOn w:val="Normal"/>
    <w:link w:val="FooterChar"/>
    <w:uiPriority w:val="99"/>
    <w:unhideWhenUsed/>
    <w:rsid w:val="009900C4"/>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9900C4"/>
    <w:rPr>
      <w:rFonts w:ascii="Times New Roman" w:eastAsia="Times New Roman" w:hAnsi="Times New Roman" w:cs="Times New Roman"/>
    </w:rPr>
  </w:style>
  <w:style w:type="paragraph" w:styleId="TOC1">
    <w:name w:val="toc 1"/>
    <w:basedOn w:val="Normal"/>
    <w:uiPriority w:val="1"/>
    <w:qFormat/>
    <w:rsid w:val="000C0376"/>
    <w:pPr>
      <w:widowControl w:val="0"/>
      <w:autoSpaceDE w:val="0"/>
      <w:autoSpaceDN w:val="0"/>
      <w:spacing w:before="232"/>
      <w:ind w:right="138"/>
      <w:jc w:val="right"/>
    </w:pPr>
    <w:rPr>
      <w:b/>
      <w:bCs/>
      <w:i/>
      <w:sz w:val="22"/>
      <w:szCs w:val="22"/>
    </w:rPr>
  </w:style>
  <w:style w:type="paragraph" w:styleId="ListParagraph">
    <w:name w:val="List Paragraph"/>
    <w:basedOn w:val="Normal"/>
    <w:uiPriority w:val="34"/>
    <w:qFormat/>
    <w:rsid w:val="008C4215"/>
    <w:pPr>
      <w:widowControl w:val="0"/>
      <w:autoSpaceDE w:val="0"/>
      <w:autoSpaceDN w:val="0"/>
      <w:ind w:left="820"/>
    </w:pPr>
    <w:rPr>
      <w:sz w:val="22"/>
      <w:szCs w:val="22"/>
    </w:rPr>
  </w:style>
  <w:style w:type="paragraph" w:styleId="NoSpacing">
    <w:name w:val="No Spacing"/>
    <w:uiPriority w:val="1"/>
    <w:qFormat/>
    <w:rsid w:val="00B36902"/>
    <w:pPr>
      <w:widowControl w:val="0"/>
      <w:autoSpaceDE w:val="0"/>
      <w:autoSpaceDN w:val="0"/>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53B5A"/>
    <w:pPr>
      <w:widowControl w:val="0"/>
      <w:autoSpaceDE w:val="0"/>
      <w:autoSpaceDN w:val="0"/>
    </w:pPr>
    <w:rPr>
      <w:sz w:val="20"/>
      <w:szCs w:val="20"/>
    </w:rPr>
  </w:style>
  <w:style w:type="character" w:customStyle="1" w:styleId="FootnoteTextChar">
    <w:name w:val="Footnote Text Char"/>
    <w:basedOn w:val="DefaultParagraphFont"/>
    <w:link w:val="FootnoteText"/>
    <w:uiPriority w:val="99"/>
    <w:semiHidden/>
    <w:rsid w:val="00253B5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53B5A"/>
    <w:rPr>
      <w:vertAlign w:val="superscript"/>
    </w:rPr>
  </w:style>
  <w:style w:type="character" w:customStyle="1" w:styleId="cosearchterm">
    <w:name w:val="co_searchterm"/>
    <w:basedOn w:val="DefaultParagraphFont"/>
    <w:rsid w:val="00D52C8E"/>
  </w:style>
  <w:style w:type="character" w:styleId="Hyperlink">
    <w:name w:val="Hyperlink"/>
    <w:basedOn w:val="DefaultParagraphFont"/>
    <w:uiPriority w:val="99"/>
    <w:unhideWhenUsed/>
    <w:rsid w:val="00D52C8E"/>
    <w:rPr>
      <w:color w:val="0000FF"/>
      <w:u w:val="single"/>
    </w:rPr>
  </w:style>
  <w:style w:type="character" w:styleId="Emphasis">
    <w:name w:val="Emphasis"/>
    <w:basedOn w:val="DefaultParagraphFont"/>
    <w:uiPriority w:val="20"/>
    <w:qFormat/>
    <w:rsid w:val="00D52C8E"/>
    <w:rPr>
      <w:i/>
      <w:iCs/>
    </w:rPr>
  </w:style>
  <w:style w:type="character" w:styleId="CommentReference">
    <w:name w:val="annotation reference"/>
    <w:basedOn w:val="DefaultParagraphFont"/>
    <w:uiPriority w:val="99"/>
    <w:semiHidden/>
    <w:unhideWhenUsed/>
    <w:rsid w:val="00CE2B5F"/>
    <w:rPr>
      <w:sz w:val="16"/>
      <w:szCs w:val="16"/>
    </w:rPr>
  </w:style>
  <w:style w:type="paragraph" w:styleId="CommentText">
    <w:name w:val="annotation text"/>
    <w:basedOn w:val="Normal"/>
    <w:link w:val="CommentTextChar"/>
    <w:uiPriority w:val="99"/>
    <w:semiHidden/>
    <w:unhideWhenUsed/>
    <w:rsid w:val="00CE2B5F"/>
    <w:pPr>
      <w:widowControl w:val="0"/>
      <w:autoSpaceDE w:val="0"/>
      <w:autoSpaceDN w:val="0"/>
    </w:pPr>
    <w:rPr>
      <w:sz w:val="20"/>
      <w:szCs w:val="20"/>
    </w:rPr>
  </w:style>
  <w:style w:type="character" w:customStyle="1" w:styleId="CommentTextChar">
    <w:name w:val="Comment Text Char"/>
    <w:basedOn w:val="DefaultParagraphFont"/>
    <w:link w:val="CommentText"/>
    <w:uiPriority w:val="99"/>
    <w:semiHidden/>
    <w:rsid w:val="00CE2B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2B5F"/>
    <w:rPr>
      <w:b/>
      <w:bCs/>
    </w:rPr>
  </w:style>
  <w:style w:type="character" w:customStyle="1" w:styleId="CommentSubjectChar">
    <w:name w:val="Comment Subject Char"/>
    <w:basedOn w:val="CommentTextChar"/>
    <w:link w:val="CommentSubject"/>
    <w:uiPriority w:val="99"/>
    <w:semiHidden/>
    <w:rsid w:val="00CE2B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2B5F"/>
    <w:pPr>
      <w:widowControl w:val="0"/>
      <w:autoSpaceDE w:val="0"/>
      <w:autoSpaceDN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F"/>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5572A"/>
    <w:rPr>
      <w:color w:val="954F72" w:themeColor="followedHyperlink"/>
      <w:u w:val="single"/>
    </w:rPr>
  </w:style>
  <w:style w:type="paragraph" w:customStyle="1" w:styleId="Default">
    <w:name w:val="Default"/>
    <w:rsid w:val="008C58B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35648"/>
    <w:pPr>
      <w:spacing w:before="100" w:beforeAutospacing="1" w:after="100" w:afterAutospacing="1"/>
    </w:pPr>
  </w:style>
  <w:style w:type="character" w:styleId="Strong">
    <w:name w:val="Strong"/>
    <w:basedOn w:val="DefaultParagraphFont"/>
    <w:uiPriority w:val="22"/>
    <w:qFormat/>
    <w:rsid w:val="00535648"/>
    <w:rPr>
      <w:b/>
      <w:bCs/>
    </w:rPr>
  </w:style>
  <w:style w:type="character" w:customStyle="1" w:styleId="apple-converted-space">
    <w:name w:val="apple-converted-space"/>
    <w:basedOn w:val="DefaultParagraphFont"/>
    <w:rsid w:val="00535648"/>
  </w:style>
  <w:style w:type="paragraph" w:customStyle="1" w:styleId="00BlockInd1">
    <w:name w:val="00 Block Ind 1"/>
    <w:basedOn w:val="Default"/>
    <w:next w:val="Default"/>
    <w:rsid w:val="004F6AD4"/>
    <w:rPr>
      <w:color w:val="auto"/>
    </w:rPr>
  </w:style>
  <w:style w:type="paragraph" w:customStyle="1" w:styleId="00BodyText1">
    <w:name w:val="00 Body Text 1"/>
    <w:basedOn w:val="Normal"/>
    <w:rsid w:val="004F6AD4"/>
    <w:pPr>
      <w:spacing w:after="240"/>
      <w:ind w:firstLine="1440"/>
    </w:pPr>
  </w:style>
  <w:style w:type="paragraph" w:customStyle="1" w:styleId="00Normal">
    <w:name w:val="00 Normal"/>
    <w:basedOn w:val="Normal"/>
    <w:rsid w:val="004F6AD4"/>
    <w:pPr>
      <w:spacing w:after="240"/>
    </w:pPr>
  </w:style>
  <w:style w:type="character" w:customStyle="1" w:styleId="lblnewsfulltext">
    <w:name w:val="lblnewsfulltext"/>
    <w:basedOn w:val="DefaultParagraphFont"/>
    <w:rsid w:val="00951AA3"/>
  </w:style>
  <w:style w:type="character" w:customStyle="1" w:styleId="UnresolvedMention1">
    <w:name w:val="Unresolved Mention1"/>
    <w:basedOn w:val="DefaultParagraphFont"/>
    <w:uiPriority w:val="99"/>
    <w:semiHidden/>
    <w:unhideWhenUsed/>
    <w:rsid w:val="00951AA3"/>
    <w:rPr>
      <w:color w:val="605E5C"/>
      <w:shd w:val="clear" w:color="auto" w:fill="E1DFDD"/>
    </w:rPr>
  </w:style>
  <w:style w:type="character" w:styleId="UnresolvedMention">
    <w:name w:val="Unresolved Mention"/>
    <w:basedOn w:val="DefaultParagraphFont"/>
    <w:uiPriority w:val="99"/>
    <w:rsid w:val="0051159B"/>
    <w:rPr>
      <w:color w:val="605E5C"/>
      <w:shd w:val="clear" w:color="auto" w:fill="E1DFDD"/>
    </w:rPr>
  </w:style>
  <w:style w:type="character" w:styleId="PlaceholderText">
    <w:name w:val="Placeholder Text"/>
    <w:basedOn w:val="DefaultParagraphFont"/>
    <w:uiPriority w:val="99"/>
    <w:semiHidden/>
    <w:rsid w:val="00B74D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10439">
      <w:bodyDiv w:val="1"/>
      <w:marLeft w:val="0"/>
      <w:marRight w:val="0"/>
      <w:marTop w:val="0"/>
      <w:marBottom w:val="0"/>
      <w:divBdr>
        <w:top w:val="none" w:sz="0" w:space="0" w:color="auto"/>
        <w:left w:val="none" w:sz="0" w:space="0" w:color="auto"/>
        <w:bottom w:val="none" w:sz="0" w:space="0" w:color="auto"/>
        <w:right w:val="none" w:sz="0" w:space="0" w:color="auto"/>
      </w:divBdr>
      <w:divsChild>
        <w:div w:id="147594809">
          <w:marLeft w:val="0"/>
          <w:marRight w:val="0"/>
          <w:marTop w:val="0"/>
          <w:marBottom w:val="0"/>
          <w:divBdr>
            <w:top w:val="none" w:sz="0" w:space="0" w:color="auto"/>
            <w:left w:val="none" w:sz="0" w:space="0" w:color="auto"/>
            <w:bottom w:val="none" w:sz="0" w:space="0" w:color="auto"/>
            <w:right w:val="none" w:sz="0" w:space="0" w:color="auto"/>
          </w:divBdr>
          <w:divsChild>
            <w:div w:id="352997145">
              <w:marLeft w:val="0"/>
              <w:marRight w:val="0"/>
              <w:marTop w:val="0"/>
              <w:marBottom w:val="0"/>
              <w:divBdr>
                <w:top w:val="none" w:sz="0" w:space="0" w:color="auto"/>
                <w:left w:val="none" w:sz="0" w:space="0" w:color="auto"/>
                <w:bottom w:val="none" w:sz="0" w:space="0" w:color="auto"/>
                <w:right w:val="none" w:sz="0" w:space="0" w:color="auto"/>
              </w:divBdr>
              <w:divsChild>
                <w:div w:id="9407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1235">
      <w:bodyDiv w:val="1"/>
      <w:marLeft w:val="0"/>
      <w:marRight w:val="0"/>
      <w:marTop w:val="0"/>
      <w:marBottom w:val="0"/>
      <w:divBdr>
        <w:top w:val="none" w:sz="0" w:space="0" w:color="auto"/>
        <w:left w:val="none" w:sz="0" w:space="0" w:color="auto"/>
        <w:bottom w:val="none" w:sz="0" w:space="0" w:color="auto"/>
        <w:right w:val="none" w:sz="0" w:space="0" w:color="auto"/>
      </w:divBdr>
      <w:divsChild>
        <w:div w:id="1256595776">
          <w:marLeft w:val="2099"/>
          <w:marRight w:val="0"/>
          <w:marTop w:val="0"/>
          <w:marBottom w:val="0"/>
          <w:divBdr>
            <w:top w:val="none" w:sz="0" w:space="0" w:color="auto"/>
            <w:left w:val="none" w:sz="0" w:space="0" w:color="auto"/>
            <w:bottom w:val="none" w:sz="0" w:space="0" w:color="auto"/>
            <w:right w:val="none" w:sz="0" w:space="0" w:color="auto"/>
          </w:divBdr>
        </w:div>
        <w:div w:id="1808551853">
          <w:marLeft w:val="0"/>
          <w:marRight w:val="0"/>
          <w:marTop w:val="0"/>
          <w:marBottom w:val="0"/>
          <w:divBdr>
            <w:top w:val="none" w:sz="0" w:space="0" w:color="auto"/>
            <w:left w:val="none" w:sz="0" w:space="0" w:color="auto"/>
            <w:bottom w:val="none" w:sz="0" w:space="0" w:color="auto"/>
            <w:right w:val="none" w:sz="0" w:space="0" w:color="auto"/>
          </w:divBdr>
          <w:divsChild>
            <w:div w:id="17952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0647">
      <w:bodyDiv w:val="1"/>
      <w:marLeft w:val="0"/>
      <w:marRight w:val="0"/>
      <w:marTop w:val="0"/>
      <w:marBottom w:val="0"/>
      <w:divBdr>
        <w:top w:val="none" w:sz="0" w:space="0" w:color="auto"/>
        <w:left w:val="none" w:sz="0" w:space="0" w:color="auto"/>
        <w:bottom w:val="none" w:sz="0" w:space="0" w:color="auto"/>
        <w:right w:val="none" w:sz="0" w:space="0" w:color="auto"/>
      </w:divBdr>
    </w:div>
    <w:div w:id="129329385">
      <w:bodyDiv w:val="1"/>
      <w:marLeft w:val="0"/>
      <w:marRight w:val="0"/>
      <w:marTop w:val="0"/>
      <w:marBottom w:val="0"/>
      <w:divBdr>
        <w:top w:val="none" w:sz="0" w:space="0" w:color="auto"/>
        <w:left w:val="none" w:sz="0" w:space="0" w:color="auto"/>
        <w:bottom w:val="none" w:sz="0" w:space="0" w:color="auto"/>
        <w:right w:val="none" w:sz="0" w:space="0" w:color="auto"/>
      </w:divBdr>
      <w:divsChild>
        <w:div w:id="540939556">
          <w:marLeft w:val="0"/>
          <w:marRight w:val="0"/>
          <w:marTop w:val="0"/>
          <w:marBottom w:val="0"/>
          <w:divBdr>
            <w:top w:val="none" w:sz="0" w:space="0" w:color="auto"/>
            <w:left w:val="none" w:sz="0" w:space="0" w:color="auto"/>
            <w:bottom w:val="none" w:sz="0" w:space="0" w:color="auto"/>
            <w:right w:val="none" w:sz="0" w:space="0" w:color="auto"/>
          </w:divBdr>
          <w:divsChild>
            <w:div w:id="1019552848">
              <w:marLeft w:val="0"/>
              <w:marRight w:val="0"/>
              <w:marTop w:val="0"/>
              <w:marBottom w:val="0"/>
              <w:divBdr>
                <w:top w:val="none" w:sz="0" w:space="0" w:color="auto"/>
                <w:left w:val="none" w:sz="0" w:space="0" w:color="auto"/>
                <w:bottom w:val="none" w:sz="0" w:space="0" w:color="auto"/>
                <w:right w:val="none" w:sz="0" w:space="0" w:color="auto"/>
              </w:divBdr>
              <w:divsChild>
                <w:div w:id="15902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8402">
      <w:bodyDiv w:val="1"/>
      <w:marLeft w:val="0"/>
      <w:marRight w:val="0"/>
      <w:marTop w:val="0"/>
      <w:marBottom w:val="0"/>
      <w:divBdr>
        <w:top w:val="none" w:sz="0" w:space="0" w:color="auto"/>
        <w:left w:val="none" w:sz="0" w:space="0" w:color="auto"/>
        <w:bottom w:val="none" w:sz="0" w:space="0" w:color="auto"/>
        <w:right w:val="none" w:sz="0" w:space="0" w:color="auto"/>
      </w:divBdr>
    </w:div>
    <w:div w:id="287512619">
      <w:bodyDiv w:val="1"/>
      <w:marLeft w:val="0"/>
      <w:marRight w:val="0"/>
      <w:marTop w:val="0"/>
      <w:marBottom w:val="0"/>
      <w:divBdr>
        <w:top w:val="none" w:sz="0" w:space="0" w:color="auto"/>
        <w:left w:val="none" w:sz="0" w:space="0" w:color="auto"/>
        <w:bottom w:val="none" w:sz="0" w:space="0" w:color="auto"/>
        <w:right w:val="none" w:sz="0" w:space="0" w:color="auto"/>
      </w:divBdr>
      <w:divsChild>
        <w:div w:id="140856236">
          <w:marLeft w:val="0"/>
          <w:marRight w:val="0"/>
          <w:marTop w:val="0"/>
          <w:marBottom w:val="0"/>
          <w:divBdr>
            <w:top w:val="none" w:sz="0" w:space="0" w:color="auto"/>
            <w:left w:val="none" w:sz="0" w:space="0" w:color="auto"/>
            <w:bottom w:val="none" w:sz="0" w:space="0" w:color="auto"/>
            <w:right w:val="none" w:sz="0" w:space="0" w:color="auto"/>
          </w:divBdr>
          <w:divsChild>
            <w:div w:id="11807103">
              <w:marLeft w:val="0"/>
              <w:marRight w:val="0"/>
              <w:marTop w:val="0"/>
              <w:marBottom w:val="0"/>
              <w:divBdr>
                <w:top w:val="none" w:sz="0" w:space="0" w:color="auto"/>
                <w:left w:val="none" w:sz="0" w:space="0" w:color="auto"/>
                <w:bottom w:val="none" w:sz="0" w:space="0" w:color="auto"/>
                <w:right w:val="none" w:sz="0" w:space="0" w:color="auto"/>
              </w:divBdr>
              <w:divsChild>
                <w:div w:id="14249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2467">
      <w:bodyDiv w:val="1"/>
      <w:marLeft w:val="0"/>
      <w:marRight w:val="0"/>
      <w:marTop w:val="0"/>
      <w:marBottom w:val="0"/>
      <w:divBdr>
        <w:top w:val="none" w:sz="0" w:space="0" w:color="auto"/>
        <w:left w:val="none" w:sz="0" w:space="0" w:color="auto"/>
        <w:bottom w:val="none" w:sz="0" w:space="0" w:color="auto"/>
        <w:right w:val="none" w:sz="0" w:space="0" w:color="auto"/>
      </w:divBdr>
    </w:div>
    <w:div w:id="306249832">
      <w:bodyDiv w:val="1"/>
      <w:marLeft w:val="0"/>
      <w:marRight w:val="0"/>
      <w:marTop w:val="0"/>
      <w:marBottom w:val="0"/>
      <w:divBdr>
        <w:top w:val="none" w:sz="0" w:space="0" w:color="auto"/>
        <w:left w:val="none" w:sz="0" w:space="0" w:color="auto"/>
        <w:bottom w:val="none" w:sz="0" w:space="0" w:color="auto"/>
        <w:right w:val="none" w:sz="0" w:space="0" w:color="auto"/>
      </w:divBdr>
      <w:divsChild>
        <w:div w:id="249244246">
          <w:marLeft w:val="2099"/>
          <w:marRight w:val="0"/>
          <w:marTop w:val="0"/>
          <w:marBottom w:val="0"/>
          <w:divBdr>
            <w:top w:val="none" w:sz="0" w:space="0" w:color="auto"/>
            <w:left w:val="none" w:sz="0" w:space="0" w:color="auto"/>
            <w:bottom w:val="none" w:sz="0" w:space="0" w:color="auto"/>
            <w:right w:val="none" w:sz="0" w:space="0" w:color="auto"/>
          </w:divBdr>
        </w:div>
        <w:div w:id="1973965">
          <w:marLeft w:val="0"/>
          <w:marRight w:val="0"/>
          <w:marTop w:val="0"/>
          <w:marBottom w:val="0"/>
          <w:divBdr>
            <w:top w:val="none" w:sz="0" w:space="0" w:color="auto"/>
            <w:left w:val="none" w:sz="0" w:space="0" w:color="auto"/>
            <w:bottom w:val="none" w:sz="0" w:space="0" w:color="auto"/>
            <w:right w:val="none" w:sz="0" w:space="0" w:color="auto"/>
          </w:divBdr>
          <w:divsChild>
            <w:div w:id="2276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4333">
      <w:bodyDiv w:val="1"/>
      <w:marLeft w:val="0"/>
      <w:marRight w:val="0"/>
      <w:marTop w:val="0"/>
      <w:marBottom w:val="0"/>
      <w:divBdr>
        <w:top w:val="none" w:sz="0" w:space="0" w:color="auto"/>
        <w:left w:val="none" w:sz="0" w:space="0" w:color="auto"/>
        <w:bottom w:val="none" w:sz="0" w:space="0" w:color="auto"/>
        <w:right w:val="none" w:sz="0" w:space="0" w:color="auto"/>
      </w:divBdr>
    </w:div>
    <w:div w:id="406417102">
      <w:bodyDiv w:val="1"/>
      <w:marLeft w:val="0"/>
      <w:marRight w:val="0"/>
      <w:marTop w:val="0"/>
      <w:marBottom w:val="0"/>
      <w:divBdr>
        <w:top w:val="none" w:sz="0" w:space="0" w:color="auto"/>
        <w:left w:val="none" w:sz="0" w:space="0" w:color="auto"/>
        <w:bottom w:val="none" w:sz="0" w:space="0" w:color="auto"/>
        <w:right w:val="none" w:sz="0" w:space="0" w:color="auto"/>
      </w:divBdr>
    </w:div>
    <w:div w:id="438569072">
      <w:bodyDiv w:val="1"/>
      <w:marLeft w:val="0"/>
      <w:marRight w:val="0"/>
      <w:marTop w:val="0"/>
      <w:marBottom w:val="0"/>
      <w:divBdr>
        <w:top w:val="none" w:sz="0" w:space="0" w:color="auto"/>
        <w:left w:val="none" w:sz="0" w:space="0" w:color="auto"/>
        <w:bottom w:val="none" w:sz="0" w:space="0" w:color="auto"/>
        <w:right w:val="none" w:sz="0" w:space="0" w:color="auto"/>
      </w:divBdr>
    </w:div>
    <w:div w:id="440416299">
      <w:bodyDiv w:val="1"/>
      <w:marLeft w:val="0"/>
      <w:marRight w:val="0"/>
      <w:marTop w:val="0"/>
      <w:marBottom w:val="0"/>
      <w:divBdr>
        <w:top w:val="none" w:sz="0" w:space="0" w:color="auto"/>
        <w:left w:val="none" w:sz="0" w:space="0" w:color="auto"/>
        <w:bottom w:val="none" w:sz="0" w:space="0" w:color="auto"/>
        <w:right w:val="none" w:sz="0" w:space="0" w:color="auto"/>
      </w:divBdr>
    </w:div>
    <w:div w:id="501624110">
      <w:bodyDiv w:val="1"/>
      <w:marLeft w:val="0"/>
      <w:marRight w:val="0"/>
      <w:marTop w:val="0"/>
      <w:marBottom w:val="0"/>
      <w:divBdr>
        <w:top w:val="none" w:sz="0" w:space="0" w:color="auto"/>
        <w:left w:val="none" w:sz="0" w:space="0" w:color="auto"/>
        <w:bottom w:val="none" w:sz="0" w:space="0" w:color="auto"/>
        <w:right w:val="none" w:sz="0" w:space="0" w:color="auto"/>
      </w:divBdr>
    </w:div>
    <w:div w:id="568810831">
      <w:bodyDiv w:val="1"/>
      <w:marLeft w:val="0"/>
      <w:marRight w:val="0"/>
      <w:marTop w:val="0"/>
      <w:marBottom w:val="0"/>
      <w:divBdr>
        <w:top w:val="none" w:sz="0" w:space="0" w:color="auto"/>
        <w:left w:val="none" w:sz="0" w:space="0" w:color="auto"/>
        <w:bottom w:val="none" w:sz="0" w:space="0" w:color="auto"/>
        <w:right w:val="none" w:sz="0" w:space="0" w:color="auto"/>
      </w:divBdr>
      <w:divsChild>
        <w:div w:id="882256393">
          <w:marLeft w:val="0"/>
          <w:marRight w:val="0"/>
          <w:marTop w:val="0"/>
          <w:marBottom w:val="0"/>
          <w:divBdr>
            <w:top w:val="none" w:sz="0" w:space="0" w:color="auto"/>
            <w:left w:val="none" w:sz="0" w:space="0" w:color="auto"/>
            <w:bottom w:val="none" w:sz="0" w:space="0" w:color="auto"/>
            <w:right w:val="none" w:sz="0" w:space="0" w:color="auto"/>
          </w:divBdr>
          <w:divsChild>
            <w:div w:id="1525055088">
              <w:marLeft w:val="0"/>
              <w:marRight w:val="0"/>
              <w:marTop w:val="0"/>
              <w:marBottom w:val="0"/>
              <w:divBdr>
                <w:top w:val="none" w:sz="0" w:space="0" w:color="auto"/>
                <w:left w:val="none" w:sz="0" w:space="0" w:color="auto"/>
                <w:bottom w:val="none" w:sz="0" w:space="0" w:color="auto"/>
                <w:right w:val="none" w:sz="0" w:space="0" w:color="auto"/>
              </w:divBdr>
              <w:divsChild>
                <w:div w:id="12156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79233">
      <w:bodyDiv w:val="1"/>
      <w:marLeft w:val="0"/>
      <w:marRight w:val="0"/>
      <w:marTop w:val="0"/>
      <w:marBottom w:val="0"/>
      <w:divBdr>
        <w:top w:val="none" w:sz="0" w:space="0" w:color="auto"/>
        <w:left w:val="none" w:sz="0" w:space="0" w:color="auto"/>
        <w:bottom w:val="none" w:sz="0" w:space="0" w:color="auto"/>
        <w:right w:val="none" w:sz="0" w:space="0" w:color="auto"/>
      </w:divBdr>
    </w:div>
    <w:div w:id="621762608">
      <w:bodyDiv w:val="1"/>
      <w:marLeft w:val="0"/>
      <w:marRight w:val="0"/>
      <w:marTop w:val="0"/>
      <w:marBottom w:val="0"/>
      <w:divBdr>
        <w:top w:val="none" w:sz="0" w:space="0" w:color="auto"/>
        <w:left w:val="none" w:sz="0" w:space="0" w:color="auto"/>
        <w:bottom w:val="none" w:sz="0" w:space="0" w:color="auto"/>
        <w:right w:val="none" w:sz="0" w:space="0" w:color="auto"/>
      </w:divBdr>
    </w:div>
    <w:div w:id="643195943">
      <w:bodyDiv w:val="1"/>
      <w:marLeft w:val="0"/>
      <w:marRight w:val="0"/>
      <w:marTop w:val="0"/>
      <w:marBottom w:val="0"/>
      <w:divBdr>
        <w:top w:val="none" w:sz="0" w:space="0" w:color="auto"/>
        <w:left w:val="none" w:sz="0" w:space="0" w:color="auto"/>
        <w:bottom w:val="none" w:sz="0" w:space="0" w:color="auto"/>
        <w:right w:val="none" w:sz="0" w:space="0" w:color="auto"/>
      </w:divBdr>
    </w:div>
    <w:div w:id="690037449">
      <w:bodyDiv w:val="1"/>
      <w:marLeft w:val="0"/>
      <w:marRight w:val="0"/>
      <w:marTop w:val="0"/>
      <w:marBottom w:val="0"/>
      <w:divBdr>
        <w:top w:val="none" w:sz="0" w:space="0" w:color="auto"/>
        <w:left w:val="none" w:sz="0" w:space="0" w:color="auto"/>
        <w:bottom w:val="none" w:sz="0" w:space="0" w:color="auto"/>
        <w:right w:val="none" w:sz="0" w:space="0" w:color="auto"/>
      </w:divBdr>
      <w:divsChild>
        <w:div w:id="1762942974">
          <w:marLeft w:val="0"/>
          <w:marRight w:val="0"/>
          <w:marTop w:val="0"/>
          <w:marBottom w:val="0"/>
          <w:divBdr>
            <w:top w:val="none" w:sz="0" w:space="0" w:color="auto"/>
            <w:left w:val="none" w:sz="0" w:space="0" w:color="auto"/>
            <w:bottom w:val="none" w:sz="0" w:space="0" w:color="auto"/>
            <w:right w:val="none" w:sz="0" w:space="0" w:color="auto"/>
          </w:divBdr>
          <w:divsChild>
            <w:div w:id="45759305">
              <w:marLeft w:val="0"/>
              <w:marRight w:val="0"/>
              <w:marTop w:val="0"/>
              <w:marBottom w:val="0"/>
              <w:divBdr>
                <w:top w:val="none" w:sz="0" w:space="0" w:color="auto"/>
                <w:left w:val="none" w:sz="0" w:space="0" w:color="auto"/>
                <w:bottom w:val="none" w:sz="0" w:space="0" w:color="auto"/>
                <w:right w:val="none" w:sz="0" w:space="0" w:color="auto"/>
              </w:divBdr>
              <w:divsChild>
                <w:div w:id="15666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0944">
      <w:bodyDiv w:val="1"/>
      <w:marLeft w:val="0"/>
      <w:marRight w:val="0"/>
      <w:marTop w:val="0"/>
      <w:marBottom w:val="0"/>
      <w:divBdr>
        <w:top w:val="none" w:sz="0" w:space="0" w:color="auto"/>
        <w:left w:val="none" w:sz="0" w:space="0" w:color="auto"/>
        <w:bottom w:val="none" w:sz="0" w:space="0" w:color="auto"/>
        <w:right w:val="none" w:sz="0" w:space="0" w:color="auto"/>
      </w:divBdr>
    </w:div>
    <w:div w:id="743339057">
      <w:bodyDiv w:val="1"/>
      <w:marLeft w:val="0"/>
      <w:marRight w:val="0"/>
      <w:marTop w:val="0"/>
      <w:marBottom w:val="0"/>
      <w:divBdr>
        <w:top w:val="none" w:sz="0" w:space="0" w:color="auto"/>
        <w:left w:val="none" w:sz="0" w:space="0" w:color="auto"/>
        <w:bottom w:val="none" w:sz="0" w:space="0" w:color="auto"/>
        <w:right w:val="none" w:sz="0" w:space="0" w:color="auto"/>
      </w:divBdr>
      <w:divsChild>
        <w:div w:id="1026639548">
          <w:marLeft w:val="0"/>
          <w:marRight w:val="0"/>
          <w:marTop w:val="0"/>
          <w:marBottom w:val="0"/>
          <w:divBdr>
            <w:top w:val="none" w:sz="0" w:space="0" w:color="auto"/>
            <w:left w:val="none" w:sz="0" w:space="0" w:color="auto"/>
            <w:bottom w:val="none" w:sz="0" w:space="0" w:color="auto"/>
            <w:right w:val="none" w:sz="0" w:space="0" w:color="auto"/>
          </w:divBdr>
          <w:divsChild>
            <w:div w:id="1582981458">
              <w:marLeft w:val="0"/>
              <w:marRight w:val="0"/>
              <w:marTop w:val="0"/>
              <w:marBottom w:val="0"/>
              <w:divBdr>
                <w:top w:val="none" w:sz="0" w:space="0" w:color="auto"/>
                <w:left w:val="none" w:sz="0" w:space="0" w:color="auto"/>
                <w:bottom w:val="none" w:sz="0" w:space="0" w:color="auto"/>
                <w:right w:val="none" w:sz="0" w:space="0" w:color="auto"/>
              </w:divBdr>
              <w:divsChild>
                <w:div w:id="4189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2169">
      <w:bodyDiv w:val="1"/>
      <w:marLeft w:val="0"/>
      <w:marRight w:val="0"/>
      <w:marTop w:val="0"/>
      <w:marBottom w:val="0"/>
      <w:divBdr>
        <w:top w:val="none" w:sz="0" w:space="0" w:color="auto"/>
        <w:left w:val="none" w:sz="0" w:space="0" w:color="auto"/>
        <w:bottom w:val="none" w:sz="0" w:space="0" w:color="auto"/>
        <w:right w:val="none" w:sz="0" w:space="0" w:color="auto"/>
      </w:divBdr>
    </w:div>
    <w:div w:id="941377210">
      <w:bodyDiv w:val="1"/>
      <w:marLeft w:val="0"/>
      <w:marRight w:val="0"/>
      <w:marTop w:val="0"/>
      <w:marBottom w:val="0"/>
      <w:divBdr>
        <w:top w:val="none" w:sz="0" w:space="0" w:color="auto"/>
        <w:left w:val="none" w:sz="0" w:space="0" w:color="auto"/>
        <w:bottom w:val="none" w:sz="0" w:space="0" w:color="auto"/>
        <w:right w:val="none" w:sz="0" w:space="0" w:color="auto"/>
      </w:divBdr>
    </w:div>
    <w:div w:id="956445838">
      <w:bodyDiv w:val="1"/>
      <w:marLeft w:val="0"/>
      <w:marRight w:val="0"/>
      <w:marTop w:val="0"/>
      <w:marBottom w:val="0"/>
      <w:divBdr>
        <w:top w:val="none" w:sz="0" w:space="0" w:color="auto"/>
        <w:left w:val="none" w:sz="0" w:space="0" w:color="auto"/>
        <w:bottom w:val="none" w:sz="0" w:space="0" w:color="auto"/>
        <w:right w:val="none" w:sz="0" w:space="0" w:color="auto"/>
      </w:divBdr>
    </w:div>
    <w:div w:id="965164662">
      <w:bodyDiv w:val="1"/>
      <w:marLeft w:val="0"/>
      <w:marRight w:val="0"/>
      <w:marTop w:val="0"/>
      <w:marBottom w:val="0"/>
      <w:divBdr>
        <w:top w:val="none" w:sz="0" w:space="0" w:color="auto"/>
        <w:left w:val="none" w:sz="0" w:space="0" w:color="auto"/>
        <w:bottom w:val="none" w:sz="0" w:space="0" w:color="auto"/>
        <w:right w:val="none" w:sz="0" w:space="0" w:color="auto"/>
      </w:divBdr>
      <w:divsChild>
        <w:div w:id="703553881">
          <w:marLeft w:val="0"/>
          <w:marRight w:val="0"/>
          <w:marTop w:val="0"/>
          <w:marBottom w:val="0"/>
          <w:divBdr>
            <w:top w:val="none" w:sz="0" w:space="0" w:color="auto"/>
            <w:left w:val="none" w:sz="0" w:space="0" w:color="auto"/>
            <w:bottom w:val="none" w:sz="0" w:space="0" w:color="auto"/>
            <w:right w:val="none" w:sz="0" w:space="0" w:color="auto"/>
          </w:divBdr>
          <w:divsChild>
            <w:div w:id="1677270883">
              <w:marLeft w:val="0"/>
              <w:marRight w:val="0"/>
              <w:marTop w:val="0"/>
              <w:marBottom w:val="0"/>
              <w:divBdr>
                <w:top w:val="none" w:sz="0" w:space="0" w:color="auto"/>
                <w:left w:val="none" w:sz="0" w:space="0" w:color="auto"/>
                <w:bottom w:val="none" w:sz="0" w:space="0" w:color="auto"/>
                <w:right w:val="none" w:sz="0" w:space="0" w:color="auto"/>
              </w:divBdr>
              <w:divsChild>
                <w:div w:id="3241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48863">
      <w:bodyDiv w:val="1"/>
      <w:marLeft w:val="0"/>
      <w:marRight w:val="0"/>
      <w:marTop w:val="0"/>
      <w:marBottom w:val="0"/>
      <w:divBdr>
        <w:top w:val="none" w:sz="0" w:space="0" w:color="auto"/>
        <w:left w:val="none" w:sz="0" w:space="0" w:color="auto"/>
        <w:bottom w:val="none" w:sz="0" w:space="0" w:color="auto"/>
        <w:right w:val="none" w:sz="0" w:space="0" w:color="auto"/>
      </w:divBdr>
    </w:div>
    <w:div w:id="1194154614">
      <w:bodyDiv w:val="1"/>
      <w:marLeft w:val="0"/>
      <w:marRight w:val="0"/>
      <w:marTop w:val="0"/>
      <w:marBottom w:val="0"/>
      <w:divBdr>
        <w:top w:val="none" w:sz="0" w:space="0" w:color="auto"/>
        <w:left w:val="none" w:sz="0" w:space="0" w:color="auto"/>
        <w:bottom w:val="none" w:sz="0" w:space="0" w:color="auto"/>
        <w:right w:val="none" w:sz="0" w:space="0" w:color="auto"/>
      </w:divBdr>
      <w:divsChild>
        <w:div w:id="249657378">
          <w:marLeft w:val="0"/>
          <w:marRight w:val="0"/>
          <w:marTop w:val="0"/>
          <w:marBottom w:val="0"/>
          <w:divBdr>
            <w:top w:val="none" w:sz="0" w:space="0" w:color="auto"/>
            <w:left w:val="none" w:sz="0" w:space="0" w:color="auto"/>
            <w:bottom w:val="none" w:sz="0" w:space="0" w:color="auto"/>
            <w:right w:val="none" w:sz="0" w:space="0" w:color="auto"/>
          </w:divBdr>
          <w:divsChild>
            <w:div w:id="1998723791">
              <w:marLeft w:val="0"/>
              <w:marRight w:val="0"/>
              <w:marTop w:val="0"/>
              <w:marBottom w:val="0"/>
              <w:divBdr>
                <w:top w:val="none" w:sz="0" w:space="0" w:color="auto"/>
                <w:left w:val="none" w:sz="0" w:space="0" w:color="auto"/>
                <w:bottom w:val="none" w:sz="0" w:space="0" w:color="auto"/>
                <w:right w:val="none" w:sz="0" w:space="0" w:color="auto"/>
              </w:divBdr>
              <w:divsChild>
                <w:div w:id="310717539">
                  <w:marLeft w:val="0"/>
                  <w:marRight w:val="0"/>
                  <w:marTop w:val="0"/>
                  <w:marBottom w:val="0"/>
                  <w:divBdr>
                    <w:top w:val="none" w:sz="0" w:space="0" w:color="auto"/>
                    <w:left w:val="none" w:sz="0" w:space="0" w:color="auto"/>
                    <w:bottom w:val="none" w:sz="0" w:space="0" w:color="auto"/>
                    <w:right w:val="none" w:sz="0" w:space="0" w:color="auto"/>
                  </w:divBdr>
                  <w:divsChild>
                    <w:div w:id="1003435546">
                      <w:marLeft w:val="0"/>
                      <w:marRight w:val="0"/>
                      <w:marTop w:val="0"/>
                      <w:marBottom w:val="0"/>
                      <w:divBdr>
                        <w:top w:val="none" w:sz="0" w:space="0" w:color="auto"/>
                        <w:left w:val="none" w:sz="0" w:space="0" w:color="auto"/>
                        <w:bottom w:val="none" w:sz="0" w:space="0" w:color="auto"/>
                        <w:right w:val="none" w:sz="0" w:space="0" w:color="auto"/>
                      </w:divBdr>
                      <w:divsChild>
                        <w:div w:id="1319770152">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55681">
      <w:bodyDiv w:val="1"/>
      <w:marLeft w:val="0"/>
      <w:marRight w:val="0"/>
      <w:marTop w:val="0"/>
      <w:marBottom w:val="0"/>
      <w:divBdr>
        <w:top w:val="none" w:sz="0" w:space="0" w:color="auto"/>
        <w:left w:val="none" w:sz="0" w:space="0" w:color="auto"/>
        <w:bottom w:val="none" w:sz="0" w:space="0" w:color="auto"/>
        <w:right w:val="none" w:sz="0" w:space="0" w:color="auto"/>
      </w:divBdr>
      <w:divsChild>
        <w:div w:id="440533634">
          <w:marLeft w:val="0"/>
          <w:marRight w:val="0"/>
          <w:marTop w:val="0"/>
          <w:marBottom w:val="0"/>
          <w:divBdr>
            <w:top w:val="none" w:sz="0" w:space="0" w:color="auto"/>
            <w:left w:val="none" w:sz="0" w:space="0" w:color="auto"/>
            <w:bottom w:val="none" w:sz="0" w:space="0" w:color="auto"/>
            <w:right w:val="none" w:sz="0" w:space="0" w:color="auto"/>
          </w:divBdr>
          <w:divsChild>
            <w:div w:id="472412686">
              <w:marLeft w:val="0"/>
              <w:marRight w:val="0"/>
              <w:marTop w:val="0"/>
              <w:marBottom w:val="0"/>
              <w:divBdr>
                <w:top w:val="none" w:sz="0" w:space="0" w:color="auto"/>
                <w:left w:val="none" w:sz="0" w:space="0" w:color="auto"/>
                <w:bottom w:val="none" w:sz="0" w:space="0" w:color="auto"/>
                <w:right w:val="none" w:sz="0" w:space="0" w:color="auto"/>
              </w:divBdr>
              <w:divsChild>
                <w:div w:id="19679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1070">
      <w:bodyDiv w:val="1"/>
      <w:marLeft w:val="0"/>
      <w:marRight w:val="0"/>
      <w:marTop w:val="0"/>
      <w:marBottom w:val="0"/>
      <w:divBdr>
        <w:top w:val="none" w:sz="0" w:space="0" w:color="auto"/>
        <w:left w:val="none" w:sz="0" w:space="0" w:color="auto"/>
        <w:bottom w:val="none" w:sz="0" w:space="0" w:color="auto"/>
        <w:right w:val="none" w:sz="0" w:space="0" w:color="auto"/>
      </w:divBdr>
    </w:div>
    <w:div w:id="1463421325">
      <w:bodyDiv w:val="1"/>
      <w:marLeft w:val="0"/>
      <w:marRight w:val="0"/>
      <w:marTop w:val="0"/>
      <w:marBottom w:val="0"/>
      <w:divBdr>
        <w:top w:val="none" w:sz="0" w:space="0" w:color="auto"/>
        <w:left w:val="none" w:sz="0" w:space="0" w:color="auto"/>
        <w:bottom w:val="none" w:sz="0" w:space="0" w:color="auto"/>
        <w:right w:val="none" w:sz="0" w:space="0" w:color="auto"/>
      </w:divBdr>
      <w:divsChild>
        <w:div w:id="42297433">
          <w:marLeft w:val="0"/>
          <w:marRight w:val="0"/>
          <w:marTop w:val="0"/>
          <w:marBottom w:val="0"/>
          <w:divBdr>
            <w:top w:val="none" w:sz="0" w:space="0" w:color="auto"/>
            <w:left w:val="none" w:sz="0" w:space="0" w:color="auto"/>
            <w:bottom w:val="none" w:sz="0" w:space="0" w:color="auto"/>
            <w:right w:val="none" w:sz="0" w:space="0" w:color="auto"/>
          </w:divBdr>
          <w:divsChild>
            <w:div w:id="2117098249">
              <w:marLeft w:val="0"/>
              <w:marRight w:val="0"/>
              <w:marTop w:val="0"/>
              <w:marBottom w:val="0"/>
              <w:divBdr>
                <w:top w:val="none" w:sz="0" w:space="0" w:color="auto"/>
                <w:left w:val="none" w:sz="0" w:space="0" w:color="auto"/>
                <w:bottom w:val="none" w:sz="0" w:space="0" w:color="auto"/>
                <w:right w:val="none" w:sz="0" w:space="0" w:color="auto"/>
              </w:divBdr>
              <w:divsChild>
                <w:div w:id="9219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6332">
      <w:bodyDiv w:val="1"/>
      <w:marLeft w:val="0"/>
      <w:marRight w:val="0"/>
      <w:marTop w:val="0"/>
      <w:marBottom w:val="0"/>
      <w:divBdr>
        <w:top w:val="none" w:sz="0" w:space="0" w:color="auto"/>
        <w:left w:val="none" w:sz="0" w:space="0" w:color="auto"/>
        <w:bottom w:val="none" w:sz="0" w:space="0" w:color="auto"/>
        <w:right w:val="none" w:sz="0" w:space="0" w:color="auto"/>
      </w:divBdr>
    </w:div>
    <w:div w:id="1710254640">
      <w:bodyDiv w:val="1"/>
      <w:marLeft w:val="0"/>
      <w:marRight w:val="0"/>
      <w:marTop w:val="0"/>
      <w:marBottom w:val="0"/>
      <w:divBdr>
        <w:top w:val="none" w:sz="0" w:space="0" w:color="auto"/>
        <w:left w:val="none" w:sz="0" w:space="0" w:color="auto"/>
        <w:bottom w:val="none" w:sz="0" w:space="0" w:color="auto"/>
        <w:right w:val="none" w:sz="0" w:space="0" w:color="auto"/>
      </w:divBdr>
    </w:div>
    <w:div w:id="1719476675">
      <w:bodyDiv w:val="1"/>
      <w:marLeft w:val="0"/>
      <w:marRight w:val="0"/>
      <w:marTop w:val="0"/>
      <w:marBottom w:val="0"/>
      <w:divBdr>
        <w:top w:val="none" w:sz="0" w:space="0" w:color="auto"/>
        <w:left w:val="none" w:sz="0" w:space="0" w:color="auto"/>
        <w:bottom w:val="none" w:sz="0" w:space="0" w:color="auto"/>
        <w:right w:val="none" w:sz="0" w:space="0" w:color="auto"/>
      </w:divBdr>
    </w:div>
    <w:div w:id="1761218107">
      <w:bodyDiv w:val="1"/>
      <w:marLeft w:val="0"/>
      <w:marRight w:val="0"/>
      <w:marTop w:val="0"/>
      <w:marBottom w:val="0"/>
      <w:divBdr>
        <w:top w:val="none" w:sz="0" w:space="0" w:color="auto"/>
        <w:left w:val="none" w:sz="0" w:space="0" w:color="auto"/>
        <w:bottom w:val="none" w:sz="0" w:space="0" w:color="auto"/>
        <w:right w:val="none" w:sz="0" w:space="0" w:color="auto"/>
      </w:divBdr>
      <w:divsChild>
        <w:div w:id="1498960719">
          <w:marLeft w:val="0"/>
          <w:marRight w:val="0"/>
          <w:marTop w:val="0"/>
          <w:marBottom w:val="0"/>
          <w:divBdr>
            <w:top w:val="none" w:sz="0" w:space="0" w:color="auto"/>
            <w:left w:val="none" w:sz="0" w:space="0" w:color="auto"/>
            <w:bottom w:val="none" w:sz="0" w:space="0" w:color="auto"/>
            <w:right w:val="none" w:sz="0" w:space="0" w:color="auto"/>
          </w:divBdr>
          <w:divsChild>
            <w:div w:id="677661957">
              <w:marLeft w:val="0"/>
              <w:marRight w:val="0"/>
              <w:marTop w:val="0"/>
              <w:marBottom w:val="0"/>
              <w:divBdr>
                <w:top w:val="none" w:sz="0" w:space="0" w:color="auto"/>
                <w:left w:val="none" w:sz="0" w:space="0" w:color="auto"/>
                <w:bottom w:val="none" w:sz="0" w:space="0" w:color="auto"/>
                <w:right w:val="none" w:sz="0" w:space="0" w:color="auto"/>
              </w:divBdr>
              <w:divsChild>
                <w:div w:id="519394014">
                  <w:marLeft w:val="0"/>
                  <w:marRight w:val="0"/>
                  <w:marTop w:val="0"/>
                  <w:marBottom w:val="0"/>
                  <w:divBdr>
                    <w:top w:val="none" w:sz="0" w:space="0" w:color="auto"/>
                    <w:left w:val="none" w:sz="0" w:space="0" w:color="auto"/>
                    <w:bottom w:val="none" w:sz="0" w:space="0" w:color="auto"/>
                    <w:right w:val="none" w:sz="0" w:space="0" w:color="auto"/>
                  </w:divBdr>
                  <w:divsChild>
                    <w:div w:id="9061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10903">
      <w:bodyDiv w:val="1"/>
      <w:marLeft w:val="0"/>
      <w:marRight w:val="0"/>
      <w:marTop w:val="0"/>
      <w:marBottom w:val="0"/>
      <w:divBdr>
        <w:top w:val="none" w:sz="0" w:space="0" w:color="auto"/>
        <w:left w:val="none" w:sz="0" w:space="0" w:color="auto"/>
        <w:bottom w:val="none" w:sz="0" w:space="0" w:color="auto"/>
        <w:right w:val="none" w:sz="0" w:space="0" w:color="auto"/>
      </w:divBdr>
    </w:div>
    <w:div w:id="1940672539">
      <w:bodyDiv w:val="1"/>
      <w:marLeft w:val="0"/>
      <w:marRight w:val="0"/>
      <w:marTop w:val="0"/>
      <w:marBottom w:val="0"/>
      <w:divBdr>
        <w:top w:val="none" w:sz="0" w:space="0" w:color="auto"/>
        <w:left w:val="none" w:sz="0" w:space="0" w:color="auto"/>
        <w:bottom w:val="none" w:sz="0" w:space="0" w:color="auto"/>
        <w:right w:val="none" w:sz="0" w:space="0" w:color="auto"/>
      </w:divBdr>
    </w:div>
    <w:div w:id="1968199344">
      <w:bodyDiv w:val="1"/>
      <w:marLeft w:val="0"/>
      <w:marRight w:val="0"/>
      <w:marTop w:val="0"/>
      <w:marBottom w:val="0"/>
      <w:divBdr>
        <w:top w:val="none" w:sz="0" w:space="0" w:color="auto"/>
        <w:left w:val="none" w:sz="0" w:space="0" w:color="auto"/>
        <w:bottom w:val="none" w:sz="0" w:space="0" w:color="auto"/>
        <w:right w:val="none" w:sz="0" w:space="0" w:color="auto"/>
      </w:divBdr>
      <w:divsChild>
        <w:div w:id="1995067477">
          <w:marLeft w:val="0"/>
          <w:marRight w:val="0"/>
          <w:marTop w:val="0"/>
          <w:marBottom w:val="0"/>
          <w:divBdr>
            <w:top w:val="none" w:sz="0" w:space="0" w:color="auto"/>
            <w:left w:val="none" w:sz="0" w:space="0" w:color="auto"/>
            <w:bottom w:val="none" w:sz="0" w:space="0" w:color="auto"/>
            <w:right w:val="none" w:sz="0" w:space="0" w:color="auto"/>
          </w:divBdr>
          <w:divsChild>
            <w:div w:id="1595360084">
              <w:marLeft w:val="0"/>
              <w:marRight w:val="0"/>
              <w:marTop w:val="0"/>
              <w:marBottom w:val="0"/>
              <w:divBdr>
                <w:top w:val="none" w:sz="0" w:space="0" w:color="auto"/>
                <w:left w:val="none" w:sz="0" w:space="0" w:color="auto"/>
                <w:bottom w:val="none" w:sz="0" w:space="0" w:color="auto"/>
                <w:right w:val="none" w:sz="0" w:space="0" w:color="auto"/>
              </w:divBdr>
              <w:divsChild>
                <w:div w:id="9990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3793">
      <w:bodyDiv w:val="1"/>
      <w:marLeft w:val="0"/>
      <w:marRight w:val="0"/>
      <w:marTop w:val="0"/>
      <w:marBottom w:val="0"/>
      <w:divBdr>
        <w:top w:val="none" w:sz="0" w:space="0" w:color="auto"/>
        <w:left w:val="none" w:sz="0" w:space="0" w:color="auto"/>
        <w:bottom w:val="none" w:sz="0" w:space="0" w:color="auto"/>
        <w:right w:val="none" w:sz="0" w:space="0" w:color="auto"/>
      </w:divBdr>
    </w:div>
    <w:div w:id="21179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news.yahoo.com/afghanistan-release-10-000-prisoners-slow-coronavirus-spread-211850224.html" TargetMode="External"/><Relationship Id="rId13" Type="http://schemas.openxmlformats.org/officeDocument/2006/relationships/hyperlink" Target="https://www.prisonpolicy.org/virus/virusresponse.html" TargetMode="External"/><Relationship Id="rId18" Type="http://schemas.openxmlformats.org/officeDocument/2006/relationships/hyperlink" Target="https://www.courtlistener.com/recap/gov.uscourts.cand.76/gov.uscourts.cand.76.3261.0.pdf" TargetMode="External"/><Relationship Id="rId3" Type="http://schemas.openxmlformats.org/officeDocument/2006/relationships/hyperlink" Target="https://bit.ly/2W9V6oS" TargetMode="External"/><Relationship Id="rId21" Type="http://schemas.openxmlformats.org/officeDocument/2006/relationships/hyperlink" Target="https://www.cdc.gov/coronavirus/2019-ncov/community/correction-detention/guidance-correctional-detention.html" TargetMode="External"/><Relationship Id="rId7" Type="http://schemas.openxmlformats.org/officeDocument/2006/relationships/hyperlink" Target="https://www.prisonstudies.org/country/iran" TargetMode="External"/><Relationship Id="rId12" Type="http://schemas.openxmlformats.org/officeDocument/2006/relationships/hyperlink" Target="https://www.nydailynews.com/new-york/ny-district-attorneys-rikers-conditions-20200406-rdjvtuwfsndqtmzuit3t66bkhq-story.html" TargetMode="External"/><Relationship Id="rId17" Type="http://schemas.openxmlformats.org/officeDocument/2006/relationships/hyperlink" Target="https://www.leagle.com/decision/infdco20200318c90" TargetMode="External"/><Relationship Id="rId2" Type="http://schemas.openxmlformats.org/officeDocument/2006/relationships/hyperlink" Target="https://www.bjs.gov/content/pub/pdf/mpsfpji1112.pdf" TargetMode="External"/><Relationship Id="rId16" Type="http://schemas.openxmlformats.org/officeDocument/2006/relationships/hyperlink" Target="https://www.sccourts.org/whatsnew/displaywhatsnew.cfm?indexID=2461" TargetMode="External"/><Relationship Id="rId20" Type="http://schemas.openxmlformats.org/officeDocument/2006/relationships/hyperlink" Target="https://www.npr.org/sections/goatsandsoda/2020/03/20/815408287/how-the-novel-coronavirus-and-the-flu-are-alike-and-different" TargetMode="External"/><Relationship Id="rId1" Type="http://schemas.openxmlformats.org/officeDocument/2006/relationships/hyperlink" Target="https://doi.org/10.1086/521910" TargetMode="External"/><Relationship Id="rId6" Type="http://schemas.openxmlformats.org/officeDocument/2006/relationships/hyperlink" Target="https://www.bloomberg.com/news/articles/2020-04-05/u-k-to-release-up-to-4-000-inmates-as-prison-virus-cases-grow" TargetMode="External"/><Relationship Id="rId11" Type="http://schemas.openxmlformats.org/officeDocument/2006/relationships/hyperlink" Target="https://www.latimes.com/california/story/2020-03-31/coronavirus-california-release-3500-inmates-prisons" TargetMode="External"/><Relationship Id="rId5" Type="http://schemas.openxmlformats.org/officeDocument/2006/relationships/hyperlink" Target="https://bit.ly/2vSzSRT" TargetMode="External"/><Relationship Id="rId15" Type="http://schemas.openxmlformats.org/officeDocument/2006/relationships/hyperlink" Target="https://courts.mt.gov/Portals/189/virus/Ltr%20to%20COLJ%20Judges%20re%20COVID-19%20032020.pdf?ver=2020-03-20-115517-333" TargetMode="External"/><Relationship Id="rId23" Type="http://schemas.openxmlformats.org/officeDocument/2006/relationships/hyperlink" Target="https://www.ohchr.org/EN/NewsEvents/Pages/DisplayNews.aspx?NewsID=25745&amp;LangID=E" TargetMode="External"/><Relationship Id="rId10" Type="http://schemas.openxmlformats.org/officeDocument/2006/relationships/hyperlink" Target="https://twitter.com/SatterthwaiteML/status/1244727743520129029" TargetMode="External"/><Relationship Id="rId19" Type="http://schemas.openxmlformats.org/officeDocument/2006/relationships/hyperlink" Target="https://cdn.penalreform.org/wp-content/uploads/2020/03/FINAL-Briefing-Coronavirus.pdf" TargetMode="External"/><Relationship Id="rId4" Type="http://schemas.openxmlformats.org/officeDocument/2006/relationships/hyperlink" Target="https://bit.ly/2TNcNZY" TargetMode="External"/><Relationship Id="rId9" Type="http://schemas.openxmlformats.org/officeDocument/2006/relationships/hyperlink" Target="https://translate.google.com/translate?client=firefox-b-1-d&amp;client=tw-ob&amp;um=1&amp;ie=UTF-8&amp;hl=en&amp;sl=ht&amp;tl=en&amp;u=https%3A%2F%2Flenouvelliste.com%2Farticle%2F214223%2Fcovid-19-des-audiences-speciales-a-lhorizon-pour-liberer-des-detenus" TargetMode="External"/><Relationship Id="rId14" Type="http://schemas.openxmlformats.org/officeDocument/2006/relationships/hyperlink" Target="https://appellate-records.courts.alaska.gov/CMSPublic/UserControl/OpenBailDocument?caseNumber=A13630" TargetMode="External"/><Relationship Id="rId22" Type="http://schemas.openxmlformats.org/officeDocument/2006/relationships/hyperlink" Target="https://twitter.com/MollyGriffard/status/1242522219147939840/phot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B407-96BD-4598-BADF-8D3674A3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6322</Words>
  <Characters>36041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Patton</dc:creator>
  <cp:keywords/>
  <dc:description/>
  <cp:lastModifiedBy>Mukund Rathi</cp:lastModifiedBy>
  <cp:revision>4</cp:revision>
  <cp:lastPrinted>2020-03-12T18:32:00Z</cp:lastPrinted>
  <dcterms:created xsi:type="dcterms:W3CDTF">2020-04-06T19:32:00Z</dcterms:created>
  <dcterms:modified xsi:type="dcterms:W3CDTF">2020-04-15T17:19:00Z</dcterms:modified>
</cp:coreProperties>
</file>