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63039" w:rsidRDefault="001E30F6">
      <w:pP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 xml:space="preserve">Disproportionately Black </w:t>
      </w:r>
    </w:p>
    <w:p w14:paraId="00000002" w14:textId="77777777" w:rsidR="00B63039" w:rsidRDefault="00B63039">
      <w:pPr>
        <w:rPr>
          <w:rFonts w:ascii="Times New Roman" w:eastAsia="Times New Roman" w:hAnsi="Times New Roman" w:cs="Times New Roman"/>
          <w:b/>
          <w:i/>
          <w:sz w:val="36"/>
          <w:szCs w:val="36"/>
        </w:rPr>
      </w:pPr>
    </w:p>
    <w:p w14:paraId="00000003" w14:textId="77777777" w:rsidR="00B63039" w:rsidRDefault="001E30F6">
      <w:pPr>
        <w:rPr>
          <w:rFonts w:ascii="Times New Roman" w:eastAsia="Times New Roman" w:hAnsi="Times New Roman" w:cs="Times New Roman"/>
          <w:sz w:val="36"/>
          <w:szCs w:val="36"/>
        </w:rPr>
      </w:pPr>
      <w:r>
        <w:rPr>
          <w:rFonts w:ascii="Times New Roman" w:eastAsia="Times New Roman" w:hAnsi="Times New Roman" w:cs="Times New Roman"/>
          <w:sz w:val="36"/>
          <w:szCs w:val="36"/>
        </w:rPr>
        <w:t>Earl Smith, PhD</w:t>
      </w:r>
    </w:p>
    <w:p w14:paraId="00000004" w14:textId="77777777" w:rsidR="00B63039" w:rsidRDefault="001E30F6">
      <w:pPr>
        <w:rPr>
          <w:rFonts w:ascii="Times New Roman" w:eastAsia="Times New Roman" w:hAnsi="Times New Roman" w:cs="Times New Roman"/>
          <w:sz w:val="36"/>
          <w:szCs w:val="36"/>
        </w:rPr>
      </w:pPr>
      <w:r>
        <w:rPr>
          <w:rFonts w:ascii="Times New Roman" w:eastAsia="Times New Roman" w:hAnsi="Times New Roman" w:cs="Times New Roman"/>
          <w:sz w:val="36"/>
          <w:szCs w:val="36"/>
        </w:rPr>
        <w:t>(2020)</w:t>
      </w:r>
    </w:p>
    <w:p w14:paraId="00000005" w14:textId="77777777" w:rsidR="00B63039" w:rsidRDefault="00B63039">
      <w:pPr>
        <w:rPr>
          <w:rFonts w:ascii="Times New Roman" w:eastAsia="Times New Roman" w:hAnsi="Times New Roman" w:cs="Times New Roman"/>
          <w:sz w:val="28"/>
          <w:szCs w:val="28"/>
        </w:rPr>
      </w:pPr>
    </w:p>
    <w:p w14:paraId="00000006" w14:textId="77777777" w:rsidR="00B63039" w:rsidRDefault="001E30F6">
      <w:pPr>
        <w:rPr>
          <w:rFonts w:ascii="Times New Roman" w:eastAsia="Times New Roman" w:hAnsi="Times New Roman" w:cs="Times New Roman"/>
        </w:rPr>
      </w:pPr>
      <w:r>
        <w:rPr>
          <w:rFonts w:ascii="Times New Roman" w:eastAsia="Times New Roman" w:hAnsi="Times New Roman" w:cs="Times New Roman"/>
        </w:rPr>
        <w:t>Black youth are </w:t>
      </w:r>
      <w:hyperlink r:id="rId6">
        <w:r>
          <w:rPr>
            <w:rFonts w:ascii="Times New Roman" w:eastAsia="Times New Roman" w:hAnsi="Times New Roman" w:cs="Times New Roman"/>
          </w:rPr>
          <w:t>currently confined</w:t>
        </w:r>
      </w:hyperlink>
      <w:r>
        <w:rPr>
          <w:rFonts w:ascii="Times New Roman" w:eastAsia="Times New Roman" w:hAnsi="Times New Roman" w:cs="Times New Roman"/>
        </w:rPr>
        <w:t> in the criminal punishment system 3X white youth</w:t>
      </w:r>
      <w:r>
        <w:rPr>
          <w:rFonts w:ascii="Times New Roman" w:eastAsia="Times New Roman" w:hAnsi="Times New Roman" w:cs="Times New Roman"/>
          <w:vertAlign w:val="superscript"/>
        </w:rPr>
        <w:footnoteReference w:id="1"/>
      </w:r>
    </w:p>
    <w:p w14:paraId="00000007" w14:textId="77777777" w:rsidR="00B63039" w:rsidRDefault="00B63039">
      <w:pPr>
        <w:rPr>
          <w:rFonts w:ascii="Times New Roman" w:eastAsia="Times New Roman" w:hAnsi="Times New Roman" w:cs="Times New Roman"/>
        </w:rPr>
      </w:pPr>
    </w:p>
    <w:p w14:paraId="00000008" w14:textId="77777777" w:rsidR="00B63039" w:rsidRDefault="001E30F6">
      <w:pPr>
        <w:rPr>
          <w:rFonts w:ascii="Times New Roman" w:eastAsia="Times New Roman" w:hAnsi="Times New Roman" w:cs="Times New Roman"/>
        </w:rPr>
      </w:pPr>
      <w:r>
        <w:rPr>
          <w:rFonts w:ascii="Times New Roman" w:eastAsia="Times New Roman" w:hAnsi="Times New Roman" w:cs="Times New Roman"/>
        </w:rPr>
        <w:t>Blacks get longer sentences than whites</w:t>
      </w:r>
      <w:r>
        <w:rPr>
          <w:rFonts w:ascii="Times New Roman" w:eastAsia="Times New Roman" w:hAnsi="Times New Roman" w:cs="Times New Roman"/>
          <w:vertAlign w:val="superscript"/>
        </w:rPr>
        <w:footnoteReference w:id="2"/>
      </w:r>
    </w:p>
    <w:p w14:paraId="00000009" w14:textId="77777777" w:rsidR="00B63039" w:rsidRDefault="00B63039">
      <w:pPr>
        <w:rPr>
          <w:rFonts w:ascii="Times New Roman" w:eastAsia="Times New Roman" w:hAnsi="Times New Roman" w:cs="Times New Roman"/>
        </w:rPr>
      </w:pPr>
    </w:p>
    <w:p w14:paraId="0000000A" w14:textId="77777777" w:rsidR="00B63039" w:rsidRDefault="001E30F6">
      <w:pPr>
        <w:rPr>
          <w:rFonts w:ascii="Times New Roman" w:eastAsia="Times New Roman" w:hAnsi="Times New Roman" w:cs="Times New Roman"/>
        </w:rPr>
      </w:pPr>
      <w:r>
        <w:rPr>
          <w:rFonts w:ascii="Times New Roman" w:eastAsia="Times New Roman" w:hAnsi="Times New Roman" w:cs="Times New Roman"/>
        </w:rPr>
        <w:t>Blacks are confined in solitary confinement more often than whites</w:t>
      </w:r>
      <w:r>
        <w:rPr>
          <w:rFonts w:ascii="Times New Roman" w:eastAsia="Times New Roman" w:hAnsi="Times New Roman" w:cs="Times New Roman"/>
          <w:vertAlign w:val="superscript"/>
        </w:rPr>
        <w:footnoteReference w:id="3"/>
      </w:r>
    </w:p>
    <w:p w14:paraId="0000000B" w14:textId="77777777" w:rsidR="00B63039" w:rsidRDefault="00B63039">
      <w:pPr>
        <w:rPr>
          <w:rFonts w:ascii="Times New Roman" w:eastAsia="Times New Roman" w:hAnsi="Times New Roman" w:cs="Times New Roman"/>
        </w:rPr>
      </w:pPr>
    </w:p>
    <w:p w14:paraId="0000000C" w14:textId="77777777" w:rsidR="00B63039" w:rsidRDefault="001E30F6">
      <w:pPr>
        <w:rPr>
          <w:rFonts w:ascii="Times New Roman" w:eastAsia="Times New Roman" w:hAnsi="Times New Roman" w:cs="Times New Roman"/>
        </w:rPr>
      </w:pPr>
      <w:r>
        <w:rPr>
          <w:rFonts w:ascii="Times New Roman" w:eastAsia="Times New Roman" w:hAnsi="Times New Roman" w:cs="Times New Roman"/>
        </w:rPr>
        <w:t>Blacks (men) comprise a larger percentage of those exonerated than they are represented in the prison population</w:t>
      </w:r>
      <w:r>
        <w:rPr>
          <w:rFonts w:ascii="Times New Roman" w:eastAsia="Times New Roman" w:hAnsi="Times New Roman" w:cs="Times New Roman"/>
          <w:vertAlign w:val="superscript"/>
        </w:rPr>
        <w:footnoteReference w:id="4"/>
      </w:r>
    </w:p>
    <w:p w14:paraId="0000000D" w14:textId="77777777" w:rsidR="00B63039" w:rsidRDefault="00B63039">
      <w:pPr>
        <w:rPr>
          <w:rFonts w:ascii="Times New Roman" w:eastAsia="Times New Roman" w:hAnsi="Times New Roman" w:cs="Times New Roman"/>
        </w:rPr>
      </w:pPr>
    </w:p>
    <w:p w14:paraId="0000000E" w14:textId="77777777" w:rsidR="00B63039" w:rsidRDefault="001E30F6">
      <w:pPr>
        <w:rPr>
          <w:rFonts w:ascii="Times New Roman" w:eastAsia="Times New Roman" w:hAnsi="Times New Roman" w:cs="Times New Roman"/>
        </w:rPr>
      </w:pPr>
      <w:r>
        <w:rPr>
          <w:rFonts w:ascii="Times New Roman" w:eastAsia="Times New Roman" w:hAnsi="Times New Roman" w:cs="Times New Roman"/>
        </w:rPr>
        <w:t>Black women sterilized more often than white women</w:t>
      </w:r>
      <w:r>
        <w:rPr>
          <w:rFonts w:ascii="Times New Roman" w:eastAsia="Times New Roman" w:hAnsi="Times New Roman" w:cs="Times New Roman"/>
          <w:vertAlign w:val="superscript"/>
        </w:rPr>
        <w:footnoteReference w:id="5"/>
      </w:r>
    </w:p>
    <w:p w14:paraId="0000000F" w14:textId="77777777" w:rsidR="00B63039" w:rsidRDefault="00B63039">
      <w:pPr>
        <w:rPr>
          <w:rFonts w:ascii="Times New Roman" w:eastAsia="Times New Roman" w:hAnsi="Times New Roman" w:cs="Times New Roman"/>
        </w:rPr>
      </w:pPr>
    </w:p>
    <w:p w14:paraId="00000010" w14:textId="77777777" w:rsidR="00B63039" w:rsidRDefault="001E30F6">
      <w:pPr>
        <w:rPr>
          <w:rFonts w:ascii="Times New Roman" w:eastAsia="Times New Roman" w:hAnsi="Times New Roman" w:cs="Times New Roman"/>
        </w:rPr>
      </w:pPr>
      <w:r>
        <w:rPr>
          <w:rFonts w:ascii="Times New Roman" w:eastAsia="Times New Roman" w:hAnsi="Times New Roman" w:cs="Times New Roman"/>
        </w:rPr>
        <w:t>Black people in the United States have a disproportionately higher death rate from tobacco-related illnesses than other racial and ethnic groups</w:t>
      </w:r>
      <w:r>
        <w:rPr>
          <w:rFonts w:ascii="Times New Roman" w:eastAsia="Times New Roman" w:hAnsi="Times New Roman" w:cs="Times New Roman"/>
          <w:vertAlign w:val="superscript"/>
        </w:rPr>
        <w:footnoteReference w:id="6"/>
      </w:r>
    </w:p>
    <w:p w14:paraId="00000011" w14:textId="77777777" w:rsidR="00B63039" w:rsidRDefault="00B63039">
      <w:pPr>
        <w:rPr>
          <w:rFonts w:ascii="Times New Roman" w:eastAsia="Times New Roman" w:hAnsi="Times New Roman" w:cs="Times New Roman"/>
        </w:rPr>
      </w:pPr>
    </w:p>
    <w:p w14:paraId="00000012" w14:textId="77777777" w:rsidR="00B63039" w:rsidRDefault="001E30F6">
      <w:pPr>
        <w:rPr>
          <w:rFonts w:ascii="Times New Roman" w:eastAsia="Times New Roman" w:hAnsi="Times New Roman" w:cs="Times New Roman"/>
        </w:rPr>
      </w:pPr>
      <w:r>
        <w:rPr>
          <w:rFonts w:ascii="Times New Roman" w:eastAsia="Times New Roman" w:hAnsi="Times New Roman" w:cs="Times New Roman"/>
        </w:rPr>
        <w:t>Black mothers’ infant mortality is the highest of all groups in US; a baby born to a Black mother in Mississippi is more likely to die before its first birthday than a baby born in any other western hemisphere country except the Dominican Republic, Guyana, Bolivia and Haiti.</w:t>
      </w:r>
      <w:r>
        <w:rPr>
          <w:rFonts w:ascii="Times New Roman" w:eastAsia="Times New Roman" w:hAnsi="Times New Roman" w:cs="Times New Roman"/>
          <w:vertAlign w:val="superscript"/>
        </w:rPr>
        <w:footnoteReference w:id="7"/>
      </w:r>
    </w:p>
    <w:p w14:paraId="00000013" w14:textId="77777777" w:rsidR="00B63039" w:rsidRDefault="00B63039">
      <w:pPr>
        <w:rPr>
          <w:rFonts w:ascii="Times New Roman" w:eastAsia="Times New Roman" w:hAnsi="Times New Roman" w:cs="Times New Roman"/>
        </w:rPr>
      </w:pPr>
    </w:p>
    <w:p w14:paraId="00000014" w14:textId="77777777" w:rsidR="00B63039" w:rsidRDefault="001E30F6">
      <w:pPr>
        <w:rPr>
          <w:rFonts w:ascii="Times New Roman" w:eastAsia="Times New Roman" w:hAnsi="Times New Roman" w:cs="Times New Roman"/>
        </w:rPr>
      </w:pPr>
      <w:r>
        <w:rPr>
          <w:rFonts w:ascii="Times New Roman" w:eastAsia="Times New Roman" w:hAnsi="Times New Roman" w:cs="Times New Roman"/>
        </w:rPr>
        <w:t>Blacks are more likely to experience “stop &amp; frisk”</w:t>
      </w:r>
      <w:r>
        <w:rPr>
          <w:rFonts w:ascii="Times New Roman" w:eastAsia="Times New Roman" w:hAnsi="Times New Roman" w:cs="Times New Roman"/>
          <w:vertAlign w:val="superscript"/>
        </w:rPr>
        <w:footnoteReference w:id="8"/>
      </w:r>
    </w:p>
    <w:p w14:paraId="00000015" w14:textId="77777777" w:rsidR="00B63039" w:rsidRDefault="00B63039">
      <w:pPr>
        <w:rPr>
          <w:rFonts w:ascii="Times New Roman" w:eastAsia="Times New Roman" w:hAnsi="Times New Roman" w:cs="Times New Roman"/>
        </w:rPr>
      </w:pPr>
    </w:p>
    <w:p w14:paraId="00000016" w14:textId="77777777" w:rsidR="00B63039" w:rsidRDefault="001E30F6">
      <w:pPr>
        <w:rPr>
          <w:rFonts w:ascii="Times New Roman" w:eastAsia="Times New Roman" w:hAnsi="Times New Roman" w:cs="Times New Roman"/>
        </w:rPr>
      </w:pPr>
      <w:r>
        <w:rPr>
          <w:rFonts w:ascii="Times New Roman" w:eastAsia="Times New Roman" w:hAnsi="Times New Roman" w:cs="Times New Roman"/>
        </w:rPr>
        <w:t>Blacks are more likely held for not being able to pay bail (or fines)</w:t>
      </w:r>
      <w:r>
        <w:rPr>
          <w:rFonts w:ascii="Times New Roman" w:eastAsia="Times New Roman" w:hAnsi="Times New Roman" w:cs="Times New Roman"/>
          <w:vertAlign w:val="superscript"/>
        </w:rPr>
        <w:footnoteReference w:id="9"/>
      </w:r>
    </w:p>
    <w:p w14:paraId="00000017" w14:textId="77777777" w:rsidR="00B63039" w:rsidRDefault="00B63039">
      <w:pPr>
        <w:rPr>
          <w:rFonts w:ascii="Times New Roman" w:eastAsia="Times New Roman" w:hAnsi="Times New Roman" w:cs="Times New Roman"/>
        </w:rPr>
      </w:pPr>
    </w:p>
    <w:p w14:paraId="00000018" w14:textId="587B4D7C" w:rsidR="00B63039" w:rsidRDefault="001E30F6">
      <w:pPr>
        <w:rPr>
          <w:rFonts w:ascii="Times New Roman" w:eastAsia="Times New Roman" w:hAnsi="Times New Roman" w:cs="Times New Roman"/>
        </w:rPr>
      </w:pPr>
      <w:r>
        <w:rPr>
          <w:rFonts w:ascii="Times New Roman" w:eastAsia="Times New Roman" w:hAnsi="Times New Roman" w:cs="Times New Roman"/>
        </w:rPr>
        <w:t xml:space="preserve">Black officers </w:t>
      </w:r>
      <w:r w:rsidR="004B7798">
        <w:rPr>
          <w:rFonts w:ascii="Times New Roman" w:eastAsia="Times New Roman" w:hAnsi="Times New Roman" w:cs="Times New Roman"/>
        </w:rPr>
        <w:t>disproportionately</w:t>
      </w:r>
      <w:r>
        <w:rPr>
          <w:rFonts w:ascii="Times New Roman" w:eastAsia="Times New Roman" w:hAnsi="Times New Roman" w:cs="Times New Roman"/>
        </w:rPr>
        <w:t xml:space="preserve"> convicted for murder</w:t>
      </w:r>
      <w:r>
        <w:rPr>
          <w:rFonts w:ascii="Times New Roman" w:eastAsia="Times New Roman" w:hAnsi="Times New Roman" w:cs="Times New Roman"/>
          <w:vertAlign w:val="superscript"/>
        </w:rPr>
        <w:footnoteReference w:id="10"/>
      </w:r>
    </w:p>
    <w:p w14:paraId="00000019" w14:textId="77777777" w:rsidR="00B63039" w:rsidRDefault="00B63039">
      <w:pPr>
        <w:rPr>
          <w:rFonts w:ascii="Times New Roman" w:eastAsia="Times New Roman" w:hAnsi="Times New Roman" w:cs="Times New Roman"/>
        </w:rPr>
      </w:pPr>
    </w:p>
    <w:p w14:paraId="0000001A" w14:textId="77777777" w:rsidR="00B63039" w:rsidRDefault="001E30F6">
      <w:pPr>
        <w:rPr>
          <w:rFonts w:ascii="Times New Roman" w:eastAsia="Times New Roman" w:hAnsi="Times New Roman" w:cs="Times New Roman"/>
        </w:rPr>
      </w:pPr>
      <w:r>
        <w:rPr>
          <w:rFonts w:ascii="Times New Roman" w:eastAsia="Times New Roman" w:hAnsi="Times New Roman" w:cs="Times New Roman"/>
        </w:rPr>
        <w:t>Black undercover officers are more likely to be killed by white officers than the reverse</w:t>
      </w:r>
      <w:r>
        <w:rPr>
          <w:rFonts w:ascii="Times New Roman" w:eastAsia="Times New Roman" w:hAnsi="Times New Roman" w:cs="Times New Roman"/>
          <w:vertAlign w:val="superscript"/>
        </w:rPr>
        <w:footnoteReference w:id="11"/>
      </w:r>
    </w:p>
    <w:p w14:paraId="0000001B" w14:textId="77777777" w:rsidR="00B63039" w:rsidRDefault="00B63039">
      <w:pPr>
        <w:rPr>
          <w:rFonts w:ascii="Times New Roman" w:eastAsia="Times New Roman" w:hAnsi="Times New Roman" w:cs="Times New Roman"/>
        </w:rPr>
      </w:pPr>
    </w:p>
    <w:p w14:paraId="0000001C" w14:textId="77777777" w:rsidR="00B63039" w:rsidRDefault="001E30F6">
      <w:pPr>
        <w:rPr>
          <w:rFonts w:ascii="Times New Roman" w:eastAsia="Times New Roman" w:hAnsi="Times New Roman" w:cs="Times New Roman"/>
        </w:rPr>
      </w:pPr>
      <w:r>
        <w:rPr>
          <w:rFonts w:ascii="Times New Roman" w:eastAsia="Times New Roman" w:hAnsi="Times New Roman" w:cs="Times New Roman"/>
        </w:rPr>
        <w:t>Blacks are paid less than whites for same jobs</w:t>
      </w:r>
      <w:r>
        <w:rPr>
          <w:rFonts w:ascii="Times New Roman" w:eastAsia="Times New Roman" w:hAnsi="Times New Roman" w:cs="Times New Roman"/>
          <w:vertAlign w:val="superscript"/>
        </w:rPr>
        <w:footnoteReference w:id="12"/>
      </w:r>
    </w:p>
    <w:p w14:paraId="0000001D" w14:textId="77777777" w:rsidR="00B63039" w:rsidRDefault="00B63039">
      <w:pPr>
        <w:rPr>
          <w:rFonts w:ascii="Times New Roman" w:eastAsia="Times New Roman" w:hAnsi="Times New Roman" w:cs="Times New Roman"/>
        </w:rPr>
      </w:pPr>
    </w:p>
    <w:p w14:paraId="0000001E" w14:textId="77777777" w:rsidR="00B63039" w:rsidRDefault="001E30F6">
      <w:pPr>
        <w:rPr>
          <w:rFonts w:ascii="Times New Roman" w:eastAsia="Times New Roman" w:hAnsi="Times New Roman" w:cs="Times New Roman"/>
          <w:color w:val="000000"/>
          <w:highlight w:val="white"/>
        </w:rPr>
      </w:pPr>
      <w:r>
        <w:rPr>
          <w:rFonts w:ascii="Times New Roman" w:eastAsia="Times New Roman" w:hAnsi="Times New Roman" w:cs="Times New Roman"/>
        </w:rPr>
        <w:t>Blacks in places like Ferguson and Chicago (</w:t>
      </w:r>
      <w:r>
        <w:rPr>
          <w:rFonts w:ascii="Times New Roman" w:eastAsia="Times New Roman" w:hAnsi="Times New Roman" w:cs="Times New Roman"/>
          <w:i/>
          <w:color w:val="000000"/>
          <w:highlight w:val="white"/>
        </w:rPr>
        <w:t>Chicago Fines, Fees &amp; Access Collaborative</w:t>
      </w:r>
      <w:r>
        <w:rPr>
          <w:rFonts w:ascii="Times New Roman" w:eastAsia="Times New Roman" w:hAnsi="Times New Roman" w:cs="Times New Roman"/>
          <w:color w:val="000000"/>
          <w:highlight w:val="white"/>
        </w:rPr>
        <w:t>), are targeted by the city’s ticketing and debt collection practices that disproportionately affected low-income and black neighborhoods</w:t>
      </w:r>
      <w:r>
        <w:rPr>
          <w:rFonts w:ascii="Times New Roman" w:eastAsia="Times New Roman" w:hAnsi="Times New Roman" w:cs="Times New Roman"/>
          <w:color w:val="000000"/>
          <w:highlight w:val="white"/>
          <w:vertAlign w:val="superscript"/>
        </w:rPr>
        <w:footnoteReference w:id="13"/>
      </w:r>
    </w:p>
    <w:p w14:paraId="0000001F" w14:textId="77777777" w:rsidR="00B63039" w:rsidRDefault="00B63039">
      <w:pPr>
        <w:rPr>
          <w:rFonts w:ascii="Times New Roman" w:eastAsia="Times New Roman" w:hAnsi="Times New Roman" w:cs="Times New Roman"/>
          <w:color w:val="000000"/>
          <w:highlight w:val="white"/>
        </w:rPr>
      </w:pPr>
    </w:p>
    <w:p w14:paraId="00000020" w14:textId="77777777" w:rsidR="00B63039" w:rsidRDefault="001E30F6">
      <w:pPr>
        <w:rPr>
          <w:rFonts w:ascii="Times New Roman" w:eastAsia="Times New Roman" w:hAnsi="Times New Roman" w:cs="Times New Roman"/>
        </w:rPr>
      </w:pPr>
      <w:r>
        <w:rPr>
          <w:rFonts w:ascii="Times New Roman" w:eastAsia="Times New Roman" w:hAnsi="Times New Roman" w:cs="Times New Roman"/>
          <w:highlight w:val="white"/>
        </w:rPr>
        <w:t>Disproportionately, more than any other race/ethnic group, Blacks are harmed by the war on drugs</w:t>
      </w:r>
      <w:r>
        <w:rPr>
          <w:rFonts w:ascii="Times New Roman" w:eastAsia="Times New Roman" w:hAnsi="Times New Roman" w:cs="Times New Roman"/>
          <w:vertAlign w:val="superscript"/>
        </w:rPr>
        <w:footnoteReference w:id="14"/>
      </w:r>
      <w:r>
        <w:rPr>
          <w:rFonts w:ascii="Times New Roman" w:eastAsia="Times New Roman" w:hAnsi="Times New Roman" w:cs="Times New Roman"/>
        </w:rPr>
        <w:t xml:space="preserve"> </w:t>
      </w:r>
    </w:p>
    <w:p w14:paraId="00000021" w14:textId="77777777" w:rsidR="00B63039" w:rsidRDefault="00B63039">
      <w:pPr>
        <w:rPr>
          <w:rFonts w:ascii="Times New Roman" w:eastAsia="Times New Roman" w:hAnsi="Times New Roman" w:cs="Times New Roman"/>
        </w:rPr>
      </w:pPr>
    </w:p>
    <w:p w14:paraId="00000022" w14:textId="77777777" w:rsidR="00B63039" w:rsidRDefault="001E30F6">
      <w:pPr>
        <w:rPr>
          <w:rFonts w:ascii="Times New Roman" w:eastAsia="Times New Roman" w:hAnsi="Times New Roman" w:cs="Times New Roman"/>
        </w:rPr>
      </w:pPr>
      <w:r>
        <w:rPr>
          <w:rFonts w:ascii="Times New Roman" w:eastAsia="Times New Roman" w:hAnsi="Times New Roman" w:cs="Times New Roman"/>
          <w:highlight w:val="white"/>
        </w:rPr>
        <w:t>Disproportionately, Blacks don't have equitable access to the burgeoning cannabis industry</w:t>
      </w:r>
      <w:r>
        <w:rPr>
          <w:rFonts w:ascii="Times New Roman" w:eastAsia="Times New Roman" w:hAnsi="Times New Roman" w:cs="Times New Roman"/>
          <w:highlight w:val="white"/>
          <w:vertAlign w:val="superscript"/>
        </w:rPr>
        <w:footnoteReference w:id="15"/>
      </w:r>
    </w:p>
    <w:p w14:paraId="00000023" w14:textId="77777777" w:rsidR="00B63039" w:rsidRDefault="00B63039">
      <w:pPr>
        <w:rPr>
          <w:rFonts w:ascii="Times New Roman" w:eastAsia="Times New Roman" w:hAnsi="Times New Roman" w:cs="Times New Roman"/>
        </w:rPr>
      </w:pPr>
    </w:p>
    <w:p w14:paraId="00000024" w14:textId="77777777" w:rsidR="00B63039" w:rsidRDefault="001E30F6">
      <w:pPr>
        <w:rPr>
          <w:rFonts w:ascii="Times New Roman" w:eastAsia="Times New Roman" w:hAnsi="Times New Roman" w:cs="Times New Roman"/>
          <w:highlight w:val="white"/>
        </w:rPr>
      </w:pPr>
      <w:r>
        <w:rPr>
          <w:rFonts w:ascii="Times New Roman" w:eastAsia="Times New Roman" w:hAnsi="Times New Roman" w:cs="Times New Roman"/>
          <w:highlight w:val="white"/>
        </w:rPr>
        <w:t>Disproportionately, more than any other race/ethnic group, Blacks don’t have equal access to the housing market</w:t>
      </w:r>
      <w:r>
        <w:rPr>
          <w:rFonts w:ascii="Times New Roman" w:eastAsia="Times New Roman" w:hAnsi="Times New Roman" w:cs="Times New Roman"/>
          <w:highlight w:val="white"/>
          <w:vertAlign w:val="superscript"/>
        </w:rPr>
        <w:footnoteReference w:id="16"/>
      </w:r>
    </w:p>
    <w:p w14:paraId="00000025" w14:textId="77777777" w:rsidR="00B63039" w:rsidRDefault="00B63039">
      <w:pPr>
        <w:rPr>
          <w:rFonts w:ascii="Times New Roman" w:eastAsia="Times New Roman" w:hAnsi="Times New Roman" w:cs="Times New Roman"/>
          <w:highlight w:val="white"/>
        </w:rPr>
      </w:pPr>
    </w:p>
    <w:p w14:paraId="00000026" w14:textId="77777777" w:rsidR="00B63039" w:rsidRDefault="001E30F6">
      <w:pPr>
        <w:rPr>
          <w:rFonts w:ascii="Times New Roman" w:eastAsia="Times New Roman" w:hAnsi="Times New Roman" w:cs="Times New Roman"/>
        </w:rPr>
      </w:pPr>
      <w:r>
        <w:rPr>
          <w:rFonts w:ascii="Times New Roman" w:eastAsia="Times New Roman" w:hAnsi="Times New Roman" w:cs="Times New Roman"/>
        </w:rPr>
        <w:t>Blacks disproportionately experience absolute exclusion from ‘high-tech’ jobs in Silicon Valley</w:t>
      </w:r>
      <w:r>
        <w:rPr>
          <w:rFonts w:ascii="Times New Roman" w:eastAsia="Times New Roman" w:hAnsi="Times New Roman" w:cs="Times New Roman"/>
          <w:vertAlign w:val="superscript"/>
        </w:rPr>
        <w:footnoteReference w:id="17"/>
      </w:r>
      <w:r>
        <w:rPr>
          <w:rFonts w:ascii="Times New Roman" w:eastAsia="Times New Roman" w:hAnsi="Times New Roman" w:cs="Times New Roman"/>
        </w:rPr>
        <w:t xml:space="preserve"> </w:t>
      </w:r>
    </w:p>
    <w:p w14:paraId="00000027" w14:textId="77777777" w:rsidR="00B63039" w:rsidRDefault="001E30F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28" w14:textId="77777777" w:rsidR="00B63039" w:rsidRDefault="001E30F6">
      <w:pPr>
        <w:rPr>
          <w:rFonts w:ascii="Times New Roman" w:eastAsia="Times New Roman" w:hAnsi="Times New Roman" w:cs="Times New Roman"/>
        </w:rPr>
      </w:pPr>
      <w:r>
        <w:rPr>
          <w:rFonts w:ascii="Times New Roman" w:eastAsia="Times New Roman" w:hAnsi="Times New Roman" w:cs="Times New Roman"/>
        </w:rPr>
        <w:lastRenderedPageBreak/>
        <w:t>Blacks disproportionately experience ‘civil death’ after convictions &amp; incarcerations;</w:t>
      </w:r>
      <w:r>
        <w:rPr>
          <w:rFonts w:ascii="Times New Roman" w:eastAsia="Times New Roman" w:hAnsi="Times New Roman" w:cs="Times New Roman"/>
          <w:vertAlign w:val="superscript"/>
        </w:rPr>
        <w:footnoteReference w:id="18"/>
      </w:r>
      <w:r>
        <w:rPr>
          <w:rFonts w:ascii="Times New Roman" w:eastAsia="Times New Roman" w:hAnsi="Times New Roman" w:cs="Times New Roman"/>
        </w:rPr>
        <w:t xml:space="preserve"> (</w:t>
      </w:r>
      <w:r>
        <w:rPr>
          <w:rFonts w:ascii="Times New Roman" w:eastAsia="Times New Roman" w:hAnsi="Times New Roman" w:cs="Times New Roman"/>
          <w:i/>
        </w:rPr>
        <w:t>Sonia Sotomayor wrote that anyone who is arrested “will now join the 65 million Americans with an arrest record and experience the ‘civil death’ of discrimination by employers, landlords, and whoever else conducts a background check.” 136 S. Ct. 2056, 2070 (2016), Sotomayor, J., dissenting</w:t>
      </w:r>
      <w:r>
        <w:rPr>
          <w:rFonts w:ascii="Times New Roman" w:eastAsia="Times New Roman" w:hAnsi="Times New Roman" w:cs="Times New Roman"/>
        </w:rPr>
        <w:t xml:space="preserve">). </w:t>
      </w:r>
    </w:p>
    <w:p w14:paraId="00000029" w14:textId="77777777" w:rsidR="00B63039" w:rsidRDefault="00B63039">
      <w:pPr>
        <w:rPr>
          <w:rFonts w:ascii="Times New Roman" w:eastAsia="Times New Roman" w:hAnsi="Times New Roman" w:cs="Times New Roman"/>
          <w:sz w:val="28"/>
          <w:szCs w:val="28"/>
        </w:rPr>
      </w:pPr>
    </w:p>
    <w:p w14:paraId="0000002A" w14:textId="77777777" w:rsidR="00B63039" w:rsidRDefault="001E30F6">
      <w:pPr>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Blacks disproportionately offered less pain medicine than whites by medical doctors</w:t>
      </w:r>
      <w:r>
        <w:rPr>
          <w:rFonts w:ascii="Times New Roman" w:eastAsia="Times New Roman" w:hAnsi="Times New Roman" w:cs="Times New Roman"/>
          <w:vertAlign w:val="superscript"/>
        </w:rPr>
        <w:footnoteReference w:id="19"/>
      </w:r>
    </w:p>
    <w:p w14:paraId="0000002B" w14:textId="77777777" w:rsidR="00B63039" w:rsidRDefault="00B63039">
      <w:pPr>
        <w:rPr>
          <w:rFonts w:ascii="Times New Roman" w:eastAsia="Times New Roman" w:hAnsi="Times New Roman" w:cs="Times New Roman"/>
          <w:sz w:val="28"/>
          <w:szCs w:val="28"/>
        </w:rPr>
      </w:pPr>
      <w:bookmarkStart w:id="1" w:name="_dnd3f0imyxuv" w:colFirst="0" w:colLast="0"/>
      <w:bookmarkEnd w:id="1"/>
    </w:p>
    <w:p w14:paraId="0000002C" w14:textId="77777777" w:rsidR="00B63039" w:rsidRDefault="001E30F6">
      <w:pPr>
        <w:rPr>
          <w:rFonts w:ascii="Times New Roman" w:eastAsia="Times New Roman" w:hAnsi="Times New Roman" w:cs="Times New Roman"/>
        </w:rPr>
      </w:pPr>
      <w:bookmarkStart w:id="2" w:name="_ky22dkbjxkqh" w:colFirst="0" w:colLast="0"/>
      <w:bookmarkEnd w:id="2"/>
      <w:r>
        <w:rPr>
          <w:rFonts w:ascii="Times New Roman" w:eastAsia="Times New Roman" w:hAnsi="Times New Roman" w:cs="Times New Roman"/>
        </w:rPr>
        <w:t>Blacks are disproportionately more likely than whites and other race/ethnic groups to be assigned e-</w:t>
      </w:r>
      <w:proofErr w:type="spellStart"/>
      <w:r>
        <w:rPr>
          <w:rFonts w:ascii="Times New Roman" w:eastAsia="Times New Roman" w:hAnsi="Times New Roman" w:cs="Times New Roman"/>
        </w:rPr>
        <w:t>carceration</w:t>
      </w:r>
      <w:proofErr w:type="spellEnd"/>
      <w:r>
        <w:rPr>
          <w:rFonts w:ascii="Times New Roman" w:eastAsia="Times New Roman" w:hAnsi="Times New Roman" w:cs="Times New Roman"/>
        </w:rPr>
        <w:t xml:space="preserve"> digital monitors like ankle and risk bracelets.</w:t>
      </w:r>
      <w:r>
        <w:rPr>
          <w:rFonts w:ascii="Times New Roman" w:eastAsia="Times New Roman" w:hAnsi="Times New Roman" w:cs="Times New Roman"/>
          <w:vertAlign w:val="superscript"/>
        </w:rPr>
        <w:footnoteReference w:id="20"/>
      </w:r>
      <w:r>
        <w:rPr>
          <w:rFonts w:ascii="Times New Roman" w:eastAsia="Times New Roman" w:hAnsi="Times New Roman" w:cs="Times New Roman"/>
        </w:rPr>
        <w:t xml:space="preserve">   </w:t>
      </w:r>
    </w:p>
    <w:p w14:paraId="0000002D" w14:textId="77777777" w:rsidR="00B63039" w:rsidRDefault="00B63039">
      <w:pPr>
        <w:rPr>
          <w:rFonts w:ascii="Times New Roman" w:eastAsia="Times New Roman" w:hAnsi="Times New Roman" w:cs="Times New Roman"/>
          <w:sz w:val="28"/>
          <w:szCs w:val="28"/>
        </w:rPr>
      </w:pPr>
      <w:bookmarkStart w:id="3" w:name="_3hhqfbslkfr9" w:colFirst="0" w:colLast="0"/>
      <w:bookmarkEnd w:id="3"/>
    </w:p>
    <w:p w14:paraId="0000002E" w14:textId="77777777" w:rsidR="00B63039" w:rsidRDefault="001E30F6">
      <w:pPr>
        <w:rPr>
          <w:rFonts w:ascii="Times New Roman" w:eastAsia="Times New Roman" w:hAnsi="Times New Roman" w:cs="Times New Roman"/>
        </w:rPr>
      </w:pPr>
      <w:bookmarkStart w:id="4" w:name="_k72arvfdafk" w:colFirst="0" w:colLast="0"/>
      <w:bookmarkEnd w:id="4"/>
      <w:r>
        <w:rPr>
          <w:rFonts w:ascii="Times New Roman" w:eastAsia="Times New Roman" w:hAnsi="Times New Roman" w:cs="Times New Roman"/>
        </w:rPr>
        <w:t xml:space="preserve">Disproportionately, </w:t>
      </w:r>
      <w:r>
        <w:rPr>
          <w:rFonts w:ascii="Times New Roman" w:eastAsia="Times New Roman" w:hAnsi="Times New Roman" w:cs="Times New Roman"/>
          <w:color w:val="333333"/>
          <w:highlight w:val="white"/>
        </w:rPr>
        <w:t>Black women continue to be incarcerated at twice the rate of white women.</w:t>
      </w:r>
      <w:r>
        <w:rPr>
          <w:rFonts w:ascii="Times New Roman" w:eastAsia="Times New Roman" w:hAnsi="Times New Roman" w:cs="Times New Roman"/>
          <w:color w:val="333333"/>
          <w:highlight w:val="white"/>
          <w:vertAlign w:val="superscript"/>
        </w:rPr>
        <w:footnoteReference w:id="21"/>
      </w:r>
      <w:r>
        <w:rPr>
          <w:rFonts w:ascii="Times New Roman" w:eastAsia="Times New Roman" w:hAnsi="Times New Roman" w:cs="Times New Roman"/>
          <w:color w:val="333333"/>
          <w:highlight w:val="white"/>
        </w:rPr>
        <w:t xml:space="preserve"> </w:t>
      </w:r>
    </w:p>
    <w:sectPr w:rsidR="00B63039">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98D06" w14:textId="77777777" w:rsidR="00EA40C1" w:rsidRDefault="00EA40C1">
      <w:r>
        <w:separator/>
      </w:r>
    </w:p>
  </w:endnote>
  <w:endnote w:type="continuationSeparator" w:id="0">
    <w:p w14:paraId="170B0079" w14:textId="77777777" w:rsidR="00EA40C1" w:rsidRDefault="00EA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1E503" w14:textId="77777777" w:rsidR="00EA40C1" w:rsidRDefault="00EA40C1">
      <w:r>
        <w:separator/>
      </w:r>
    </w:p>
  </w:footnote>
  <w:footnote w:type="continuationSeparator" w:id="0">
    <w:p w14:paraId="4284B36A" w14:textId="77777777" w:rsidR="00EA40C1" w:rsidRDefault="00EA40C1">
      <w:r>
        <w:continuationSeparator/>
      </w:r>
    </w:p>
  </w:footnote>
  <w:footnote w:id="1">
    <w:p w14:paraId="00000032" w14:textId="77777777" w:rsidR="00B63039" w:rsidRDefault="001E30F6">
      <w:pPr>
        <w:rPr>
          <w:sz w:val="20"/>
          <w:szCs w:val="20"/>
        </w:rPr>
      </w:pPr>
      <w:r>
        <w:rPr>
          <w:vertAlign w:val="superscript"/>
        </w:rPr>
        <w:footnoteRef/>
      </w:r>
      <w:r>
        <w:rPr>
          <w:sz w:val="20"/>
          <w:szCs w:val="20"/>
        </w:rPr>
        <w:t xml:space="preserve"> Burns Institute, </w:t>
      </w:r>
      <w:hyperlink r:id="rId1">
        <w:r>
          <w:rPr>
            <w:color w:val="1155CC"/>
            <w:sz w:val="20"/>
            <w:szCs w:val="20"/>
            <w:u w:val="single"/>
          </w:rPr>
          <w:t>https://www.burnsinstitute.org/tag/racial-and-ethnic-disparities/</w:t>
        </w:r>
      </w:hyperlink>
      <w:r>
        <w:rPr>
          <w:sz w:val="20"/>
          <w:szCs w:val="20"/>
        </w:rPr>
        <w:t xml:space="preserve"> </w:t>
      </w:r>
    </w:p>
  </w:footnote>
  <w:footnote w:id="2">
    <w:p w14:paraId="00000033" w14:textId="77777777" w:rsidR="00B63039" w:rsidRDefault="001E30F6">
      <w:pPr>
        <w:rPr>
          <w:sz w:val="20"/>
          <w:szCs w:val="20"/>
        </w:rPr>
      </w:pPr>
      <w:r>
        <w:rPr>
          <w:vertAlign w:val="superscript"/>
        </w:rPr>
        <w:footnoteRef/>
      </w:r>
      <w:r>
        <w:rPr>
          <w:sz w:val="20"/>
          <w:szCs w:val="20"/>
        </w:rPr>
        <w:t xml:space="preserve"> Equal Justice Initiative, </w:t>
      </w:r>
      <w:hyperlink r:id="rId2">
        <w:r>
          <w:rPr>
            <w:color w:val="1155CC"/>
            <w:sz w:val="20"/>
            <w:szCs w:val="20"/>
            <w:u w:val="single"/>
          </w:rPr>
          <w:t>https://eji.org/news/sentencing-commission-finds-black-men-receive-longer-sentences</w:t>
        </w:r>
      </w:hyperlink>
      <w:r>
        <w:rPr>
          <w:sz w:val="20"/>
          <w:szCs w:val="20"/>
        </w:rPr>
        <w:t xml:space="preserve"> </w:t>
      </w:r>
    </w:p>
  </w:footnote>
  <w:footnote w:id="3">
    <w:p w14:paraId="00000034" w14:textId="77777777" w:rsidR="00B63039" w:rsidRDefault="001E30F6">
      <w:pPr>
        <w:rPr>
          <w:sz w:val="20"/>
          <w:szCs w:val="20"/>
        </w:rPr>
      </w:pPr>
      <w:r>
        <w:rPr>
          <w:vertAlign w:val="superscript"/>
        </w:rPr>
        <w:footnoteRef/>
      </w:r>
      <w:r>
        <w:rPr>
          <w:sz w:val="20"/>
          <w:szCs w:val="20"/>
        </w:rPr>
        <w:t xml:space="preserve"> Knowable Magazine, </w:t>
      </w:r>
      <w:hyperlink r:id="rId3">
        <w:r>
          <w:rPr>
            <w:color w:val="1155CC"/>
            <w:sz w:val="20"/>
            <w:szCs w:val="20"/>
            <w:u w:val="single"/>
          </w:rPr>
          <w:t>https://www.knowablemagazine.org/article/society/2018/hidden-damage-solitary-confinement</w:t>
        </w:r>
      </w:hyperlink>
      <w:r>
        <w:rPr>
          <w:sz w:val="20"/>
          <w:szCs w:val="20"/>
        </w:rPr>
        <w:t xml:space="preserve"> </w:t>
      </w:r>
    </w:p>
  </w:footnote>
  <w:footnote w:id="4">
    <w:p w14:paraId="00000035" w14:textId="77777777" w:rsidR="00B63039" w:rsidRDefault="001E30F6">
      <w:pPr>
        <w:rPr>
          <w:b/>
          <w:i/>
          <w:sz w:val="20"/>
          <w:szCs w:val="20"/>
        </w:rPr>
      </w:pPr>
      <w:r>
        <w:rPr>
          <w:vertAlign w:val="superscript"/>
        </w:rPr>
        <w:footnoteRef/>
      </w:r>
      <w:r>
        <w:rPr>
          <w:sz w:val="20"/>
          <w:szCs w:val="20"/>
        </w:rPr>
        <w:t xml:space="preserve"> Angela J. Hattery and Earl Smith, 2018, </w:t>
      </w:r>
      <w:r>
        <w:rPr>
          <w:b/>
          <w:i/>
          <w:sz w:val="20"/>
          <w:szCs w:val="20"/>
        </w:rPr>
        <w:t>Policing the Black Body</w:t>
      </w:r>
    </w:p>
  </w:footnote>
  <w:footnote w:id="5">
    <w:p w14:paraId="00000036" w14:textId="77777777" w:rsidR="00B63039" w:rsidRDefault="001E30F6">
      <w:pPr>
        <w:rPr>
          <w:sz w:val="20"/>
          <w:szCs w:val="20"/>
        </w:rPr>
      </w:pPr>
      <w:r>
        <w:rPr>
          <w:vertAlign w:val="superscript"/>
        </w:rPr>
        <w:footnoteRef/>
      </w:r>
      <w:r>
        <w:rPr>
          <w:sz w:val="20"/>
          <w:szCs w:val="20"/>
        </w:rPr>
        <w:t xml:space="preserve"> </w:t>
      </w:r>
      <w:hyperlink r:id="rId4">
        <w:r>
          <w:rPr>
            <w:color w:val="1155CC"/>
            <w:sz w:val="20"/>
            <w:szCs w:val="20"/>
            <w:u w:val="single"/>
          </w:rPr>
          <w:t>http://www.msnbc.com/all/eugenic-sterilization-victims-belated-justice</w:t>
        </w:r>
      </w:hyperlink>
      <w:r>
        <w:rPr>
          <w:sz w:val="20"/>
          <w:szCs w:val="20"/>
        </w:rPr>
        <w:t xml:space="preserve"> ;  Prof. Johanna Schoen, 2005, </w:t>
      </w:r>
      <w:r>
        <w:rPr>
          <w:b/>
          <w:i/>
          <w:sz w:val="20"/>
          <w:szCs w:val="20"/>
        </w:rPr>
        <w:t xml:space="preserve">Choice and Coercion: Birth Control, Sterilization, and Abortion in Public Health and Welfare. </w:t>
      </w:r>
      <w:r>
        <w:rPr>
          <w:sz w:val="20"/>
          <w:szCs w:val="20"/>
        </w:rPr>
        <w:t>University of North Carolina Press.</w:t>
      </w:r>
    </w:p>
  </w:footnote>
  <w:footnote w:id="6">
    <w:p w14:paraId="00000037" w14:textId="77777777" w:rsidR="00B63039" w:rsidRDefault="001E30F6">
      <w:pPr>
        <w:rPr>
          <w:sz w:val="20"/>
          <w:szCs w:val="20"/>
        </w:rPr>
      </w:pPr>
      <w:r>
        <w:rPr>
          <w:vertAlign w:val="superscript"/>
        </w:rPr>
        <w:footnoteRef/>
      </w:r>
      <w:r>
        <w:rPr>
          <w:sz w:val="20"/>
          <w:szCs w:val="20"/>
        </w:rPr>
        <w:t xml:space="preserve"> CDC, </w:t>
      </w:r>
      <w:hyperlink r:id="rId5">
        <w:r>
          <w:rPr>
            <w:color w:val="1155CC"/>
            <w:sz w:val="20"/>
            <w:szCs w:val="20"/>
            <w:u w:val="single"/>
          </w:rPr>
          <w:t>https://www.cdc.gov/tobacco/disparities/african-americans/index.htm</w:t>
        </w:r>
      </w:hyperlink>
      <w:r>
        <w:rPr>
          <w:sz w:val="20"/>
          <w:szCs w:val="20"/>
        </w:rPr>
        <w:t xml:space="preserve"> </w:t>
      </w:r>
    </w:p>
  </w:footnote>
  <w:footnote w:id="7">
    <w:p w14:paraId="00000038" w14:textId="77777777" w:rsidR="00B63039" w:rsidRDefault="001E30F6">
      <w:pPr>
        <w:rPr>
          <w:sz w:val="20"/>
          <w:szCs w:val="20"/>
        </w:rPr>
      </w:pPr>
      <w:r>
        <w:rPr>
          <w:vertAlign w:val="superscript"/>
        </w:rPr>
        <w:footnoteRef/>
      </w:r>
      <w:r>
        <w:rPr>
          <w:sz w:val="20"/>
          <w:szCs w:val="20"/>
        </w:rPr>
        <w:t xml:space="preserve"> “Why America’s Black Mothers and Babies Are in a Life-or-Death Crisis”    </w:t>
      </w:r>
      <w:hyperlink r:id="rId6">
        <w:r>
          <w:rPr>
            <w:color w:val="1155CC"/>
            <w:sz w:val="20"/>
            <w:szCs w:val="20"/>
            <w:u w:val="single"/>
          </w:rPr>
          <w:t>https://www.nytimes.com/2018/04/11/magazine/black-mothers-babies-death-maternal-mortality.html</w:t>
        </w:r>
      </w:hyperlink>
      <w:r>
        <w:rPr>
          <w:sz w:val="20"/>
          <w:szCs w:val="20"/>
        </w:rPr>
        <w:t xml:space="preserve"> </w:t>
      </w:r>
    </w:p>
  </w:footnote>
  <w:footnote w:id="8">
    <w:p w14:paraId="00000039" w14:textId="77777777" w:rsidR="00B63039" w:rsidRDefault="001E30F6">
      <w:pPr>
        <w:rPr>
          <w:sz w:val="20"/>
          <w:szCs w:val="20"/>
        </w:rPr>
      </w:pPr>
      <w:r>
        <w:rPr>
          <w:vertAlign w:val="superscript"/>
        </w:rPr>
        <w:footnoteRef/>
      </w:r>
      <w:r>
        <w:rPr>
          <w:sz w:val="20"/>
          <w:szCs w:val="20"/>
        </w:rPr>
        <w:t xml:space="preserve"> “There’s overwhelming evidence that the criminal-justice system is racist. Here’s the proof.”    </w:t>
      </w:r>
      <w:hyperlink r:id="rId7">
        <w:r>
          <w:rPr>
            <w:color w:val="1155CC"/>
            <w:sz w:val="20"/>
            <w:szCs w:val="20"/>
            <w:u w:val="single"/>
          </w:rPr>
          <w:t>https://www.washingtonpost.com/news/opinions/wp/2018/09/18/theres-overwhelming-evidence-that-the-criminal-justice-system-is-racist-heres-the-proof/?noredirect=on&amp;utm_term=.3138b68afb3c</w:t>
        </w:r>
      </w:hyperlink>
      <w:r>
        <w:rPr>
          <w:sz w:val="20"/>
          <w:szCs w:val="20"/>
        </w:rPr>
        <w:t xml:space="preserve"> ; </w:t>
      </w:r>
      <w:hyperlink r:id="rId8">
        <w:r>
          <w:rPr>
            <w:color w:val="1155CC"/>
            <w:sz w:val="20"/>
            <w:szCs w:val="20"/>
            <w:u w:val="single"/>
          </w:rPr>
          <w:t>https://marginalrevolution.com/marginalrevolution/2016/06/the-sotomayor-and-kagan-dissents-in-utah-v-strieff.html</w:t>
        </w:r>
      </w:hyperlink>
      <w:r>
        <w:rPr>
          <w:sz w:val="20"/>
          <w:szCs w:val="20"/>
        </w:rPr>
        <w:t xml:space="preserve">    </w:t>
      </w:r>
    </w:p>
  </w:footnote>
  <w:footnote w:id="9">
    <w:p w14:paraId="0000003A" w14:textId="77777777" w:rsidR="00B63039" w:rsidRDefault="001E30F6">
      <w:pPr>
        <w:rPr>
          <w:sz w:val="20"/>
          <w:szCs w:val="20"/>
        </w:rPr>
      </w:pPr>
      <w:r>
        <w:rPr>
          <w:vertAlign w:val="superscript"/>
        </w:rPr>
        <w:footnoteRef/>
      </w:r>
      <w:r>
        <w:rPr>
          <w:sz w:val="20"/>
          <w:szCs w:val="20"/>
        </w:rPr>
        <w:t xml:space="preserve"> “Detaining the Poor: How money bail perpetuates an endless cycle of poverty and jail time”    </w:t>
      </w:r>
      <w:hyperlink r:id="rId9">
        <w:r>
          <w:rPr>
            <w:color w:val="1155CC"/>
            <w:sz w:val="20"/>
            <w:szCs w:val="20"/>
            <w:u w:val="single"/>
          </w:rPr>
          <w:t>https://www.prisonpolicy.org/reports/incomejails.html</w:t>
        </w:r>
      </w:hyperlink>
      <w:r>
        <w:rPr>
          <w:sz w:val="20"/>
          <w:szCs w:val="20"/>
        </w:rPr>
        <w:t xml:space="preserve"> </w:t>
      </w:r>
    </w:p>
  </w:footnote>
  <w:footnote w:id="10">
    <w:p w14:paraId="0000003B" w14:textId="77777777" w:rsidR="00B63039" w:rsidRDefault="001E30F6">
      <w:pPr>
        <w:rPr>
          <w:sz w:val="20"/>
          <w:szCs w:val="20"/>
        </w:rPr>
      </w:pPr>
      <w:r>
        <w:rPr>
          <w:vertAlign w:val="superscript"/>
        </w:rPr>
        <w:footnoteRef/>
      </w:r>
      <w:r>
        <w:rPr>
          <w:sz w:val="20"/>
          <w:szCs w:val="20"/>
        </w:rPr>
        <w:t xml:space="preserve"> “A Black Officer, a White Woman, a Rare Murder Conviction. Is It ‘Hypocrisy,’ or Justice?”   </w:t>
      </w:r>
      <w:hyperlink r:id="rId10">
        <w:r>
          <w:rPr>
            <w:color w:val="1155CC"/>
            <w:sz w:val="20"/>
            <w:szCs w:val="20"/>
            <w:u w:val="single"/>
          </w:rPr>
          <w:t>https://www.nytimes.com/2019/05/03/us/mohamed-noor-guilty.html</w:t>
        </w:r>
      </w:hyperlink>
      <w:r>
        <w:rPr>
          <w:sz w:val="20"/>
          <w:szCs w:val="20"/>
        </w:rPr>
        <w:t xml:space="preserve"> </w:t>
      </w:r>
    </w:p>
    <w:p w14:paraId="0000003D" w14:textId="77777777" w:rsidR="00B63039" w:rsidRDefault="00B63039">
      <w:pPr>
        <w:rPr>
          <w:sz w:val="20"/>
          <w:szCs w:val="20"/>
        </w:rPr>
      </w:pPr>
    </w:p>
  </w:footnote>
  <w:footnote w:id="11">
    <w:p w14:paraId="0000003E" w14:textId="77777777" w:rsidR="00B63039" w:rsidRDefault="001E30F6">
      <w:pPr>
        <w:rPr>
          <w:sz w:val="20"/>
          <w:szCs w:val="20"/>
        </w:rPr>
      </w:pPr>
      <w:r>
        <w:rPr>
          <w:vertAlign w:val="superscript"/>
        </w:rPr>
        <w:footnoteRef/>
      </w:r>
      <w:r>
        <w:rPr>
          <w:sz w:val="20"/>
          <w:szCs w:val="20"/>
        </w:rPr>
        <w:t xml:space="preserve"> “Black St. Louis Officer Shot By White Cop After Identifying Himself Sues The City..</w:t>
      </w:r>
    </w:p>
    <w:p w14:paraId="0000003F" w14:textId="77777777" w:rsidR="00B63039" w:rsidRDefault="001E30F6">
      <w:pPr>
        <w:rPr>
          <w:sz w:val="20"/>
          <w:szCs w:val="20"/>
        </w:rPr>
      </w:pPr>
      <w:r>
        <w:rPr>
          <w:sz w:val="20"/>
          <w:szCs w:val="20"/>
        </w:rPr>
        <w:t xml:space="preserve">Milton Green said he believes he "wouldn't have gotten shot" if he was white.   </w:t>
      </w:r>
      <w:hyperlink r:id="rId11">
        <w:r>
          <w:rPr>
            <w:color w:val="1155CC"/>
            <w:sz w:val="20"/>
            <w:szCs w:val="20"/>
            <w:u w:val="single"/>
          </w:rPr>
          <w:t>https://newsone.com/3854497/black-cop-sues-st-louis-police-shooting/</w:t>
        </w:r>
      </w:hyperlink>
      <w:r>
        <w:rPr>
          <w:sz w:val="20"/>
          <w:szCs w:val="20"/>
        </w:rPr>
        <w:t>; “Officer Who Fatally Shot Black Security Guard Outside a Bar Is Identified”</w:t>
      </w:r>
    </w:p>
    <w:p w14:paraId="00000040" w14:textId="77777777" w:rsidR="00B63039" w:rsidRDefault="00EA40C1">
      <w:pPr>
        <w:rPr>
          <w:sz w:val="20"/>
          <w:szCs w:val="20"/>
        </w:rPr>
      </w:pPr>
      <w:hyperlink r:id="rId12">
        <w:r w:rsidR="001E30F6">
          <w:rPr>
            <w:color w:val="1155CC"/>
            <w:sz w:val="20"/>
            <w:szCs w:val="20"/>
            <w:u w:val="single"/>
          </w:rPr>
          <w:t>https://www.nytimes.com/2019/01/19/us/jemel-roberson-officer-ian-covey.html</w:t>
        </w:r>
      </w:hyperlink>
      <w:r w:rsidR="001E30F6">
        <w:rPr>
          <w:sz w:val="20"/>
          <w:szCs w:val="20"/>
        </w:rPr>
        <w:t xml:space="preserve"> </w:t>
      </w:r>
    </w:p>
  </w:footnote>
  <w:footnote w:id="12">
    <w:p w14:paraId="00000041" w14:textId="77777777" w:rsidR="00B63039" w:rsidRDefault="001E30F6">
      <w:pPr>
        <w:rPr>
          <w:sz w:val="20"/>
          <w:szCs w:val="20"/>
        </w:rPr>
      </w:pPr>
      <w:r>
        <w:rPr>
          <w:vertAlign w:val="superscript"/>
        </w:rPr>
        <w:footnoteRef/>
      </w:r>
      <w:r>
        <w:rPr>
          <w:sz w:val="20"/>
          <w:szCs w:val="20"/>
        </w:rPr>
        <w:t xml:space="preserve"> “African Americans are paid less than whites at every education level”   </w:t>
      </w:r>
      <w:hyperlink r:id="rId13">
        <w:r>
          <w:rPr>
            <w:color w:val="1155CC"/>
            <w:sz w:val="20"/>
            <w:szCs w:val="20"/>
            <w:u w:val="single"/>
          </w:rPr>
          <w:t>https://www.epi.org/publication/african-americans-are-paid-less-than-whites-at-every-education-level/</w:t>
        </w:r>
      </w:hyperlink>
      <w:r>
        <w:rPr>
          <w:sz w:val="20"/>
          <w:szCs w:val="20"/>
        </w:rPr>
        <w:t xml:space="preserve"> </w:t>
      </w:r>
    </w:p>
  </w:footnote>
  <w:footnote w:id="13">
    <w:p w14:paraId="00000042" w14:textId="77777777" w:rsidR="00B63039" w:rsidRDefault="001E30F6">
      <w:pPr>
        <w:rPr>
          <w:sz w:val="20"/>
          <w:szCs w:val="20"/>
        </w:rPr>
      </w:pPr>
      <w:r>
        <w:rPr>
          <w:vertAlign w:val="superscript"/>
        </w:rPr>
        <w:footnoteRef/>
      </w:r>
      <w:r>
        <w:rPr>
          <w:sz w:val="20"/>
          <w:szCs w:val="20"/>
        </w:rPr>
        <w:t xml:space="preserve"> “Why the Missouri city—despite hosting a multinational corporation—relied on municipal fees and fines to extract revenue from its poorest residents”  </w:t>
      </w:r>
      <w:hyperlink r:id="rId14">
        <w:r>
          <w:rPr>
            <w:color w:val="1155CC"/>
            <w:sz w:val="20"/>
            <w:szCs w:val="20"/>
            <w:u w:val="single"/>
          </w:rPr>
          <w:t>https://www.theatlantic.com/politics/archive/2015/04/fergusons-fortune-500-company/390492/</w:t>
        </w:r>
      </w:hyperlink>
      <w:r>
        <w:rPr>
          <w:sz w:val="20"/>
          <w:szCs w:val="20"/>
        </w:rPr>
        <w:t xml:space="preserve"> </w:t>
      </w:r>
    </w:p>
  </w:footnote>
  <w:footnote w:id="14">
    <w:p w14:paraId="00000043" w14:textId="77777777" w:rsidR="00B63039" w:rsidRDefault="001E30F6">
      <w:pPr>
        <w:rPr>
          <w:sz w:val="20"/>
          <w:szCs w:val="20"/>
        </w:rPr>
      </w:pPr>
      <w:r>
        <w:rPr>
          <w:vertAlign w:val="superscript"/>
        </w:rPr>
        <w:footnoteRef/>
      </w:r>
      <w:r>
        <w:rPr>
          <w:sz w:val="20"/>
          <w:szCs w:val="20"/>
        </w:rPr>
        <w:t xml:space="preserve"> “Race and the War on Drugs”  </w:t>
      </w:r>
      <w:hyperlink r:id="rId15">
        <w:r>
          <w:rPr>
            <w:color w:val="1155CC"/>
            <w:sz w:val="20"/>
            <w:szCs w:val="20"/>
            <w:u w:val="single"/>
          </w:rPr>
          <w:t>https://www.aclu.org/sites/default/files/field_document/ACF4F34.pdf</w:t>
        </w:r>
      </w:hyperlink>
      <w:r>
        <w:rPr>
          <w:sz w:val="20"/>
          <w:szCs w:val="20"/>
        </w:rPr>
        <w:t xml:space="preserve"> </w:t>
      </w:r>
    </w:p>
  </w:footnote>
  <w:footnote w:id="15">
    <w:p w14:paraId="00000044" w14:textId="77777777" w:rsidR="00B63039" w:rsidRDefault="001E30F6">
      <w:pPr>
        <w:rPr>
          <w:sz w:val="20"/>
          <w:szCs w:val="20"/>
        </w:rPr>
      </w:pPr>
      <w:r>
        <w:rPr>
          <w:vertAlign w:val="superscript"/>
        </w:rPr>
        <w:footnoteRef/>
      </w:r>
      <w:r>
        <w:rPr>
          <w:sz w:val="20"/>
          <w:szCs w:val="20"/>
        </w:rPr>
        <w:t xml:space="preserve"> “Black People Face Big Barriers Entering the Legal Weed Industry”  </w:t>
      </w:r>
      <w:hyperlink r:id="rId16">
        <w:r>
          <w:rPr>
            <w:color w:val="1155CC"/>
            <w:sz w:val="20"/>
            <w:szCs w:val="20"/>
            <w:u w:val="single"/>
          </w:rPr>
          <w:t>https://www.vice.com/en_us/article/yw4pkw/weed-industry-equity-black-business</w:t>
        </w:r>
      </w:hyperlink>
      <w:r>
        <w:rPr>
          <w:sz w:val="20"/>
          <w:szCs w:val="20"/>
        </w:rPr>
        <w:t xml:space="preserve">  </w:t>
      </w:r>
    </w:p>
  </w:footnote>
  <w:footnote w:id="16">
    <w:p w14:paraId="00000045" w14:textId="77777777" w:rsidR="00B63039" w:rsidRDefault="001E30F6">
      <w:pPr>
        <w:rPr>
          <w:sz w:val="20"/>
          <w:szCs w:val="20"/>
        </w:rPr>
      </w:pPr>
      <w:r>
        <w:rPr>
          <w:vertAlign w:val="superscript"/>
        </w:rPr>
        <w:footnoteRef/>
      </w:r>
      <w:r>
        <w:rPr>
          <w:sz w:val="20"/>
          <w:szCs w:val="20"/>
        </w:rPr>
        <w:t xml:space="preserve"> The ‘heartbreaking’ decrease in black homeownership Racism and rollbacks in government policies are taking their toll.” </w:t>
      </w:r>
      <w:hyperlink r:id="rId17">
        <w:r>
          <w:rPr>
            <w:color w:val="1155CC"/>
            <w:sz w:val="20"/>
            <w:szCs w:val="20"/>
            <w:u w:val="single"/>
          </w:rPr>
          <w:t>https://www.washingtonpost.com/news/business/wp/2019/02/28/feature/the-heartbreaking-decrease-in-black-homeownership/?utm_term=.7ae73f1d197b</w:t>
        </w:r>
      </w:hyperlink>
      <w:r>
        <w:rPr>
          <w:sz w:val="20"/>
          <w:szCs w:val="20"/>
        </w:rPr>
        <w:t xml:space="preserve"> </w:t>
      </w:r>
    </w:p>
  </w:footnote>
  <w:footnote w:id="17">
    <w:p w14:paraId="00000046" w14:textId="77777777" w:rsidR="00B63039" w:rsidRDefault="001E30F6">
      <w:pPr>
        <w:rPr>
          <w:sz w:val="20"/>
          <w:szCs w:val="20"/>
        </w:rPr>
      </w:pPr>
      <w:r>
        <w:rPr>
          <w:vertAlign w:val="superscript"/>
        </w:rPr>
        <w:footnoteRef/>
      </w:r>
      <w:r>
        <w:rPr>
          <w:sz w:val="20"/>
          <w:szCs w:val="20"/>
        </w:rPr>
        <w:t xml:space="preserve"> “Black and Hispanic underrepresentation in tech: It’s time to change the equation”  </w:t>
      </w:r>
      <w:hyperlink r:id="rId18">
        <w:r>
          <w:rPr>
            <w:color w:val="1155CC"/>
            <w:sz w:val="20"/>
            <w:szCs w:val="20"/>
            <w:u w:val="single"/>
          </w:rPr>
          <w:t>https://www.brookings.edu/research/black-and-hispanic-underrepresentation-in-tech-its-time-to-change-the-equation/</w:t>
        </w:r>
      </w:hyperlink>
      <w:r>
        <w:rPr>
          <w:sz w:val="20"/>
          <w:szCs w:val="20"/>
        </w:rPr>
        <w:t xml:space="preserve"> </w:t>
      </w:r>
    </w:p>
    <w:p w14:paraId="00000047" w14:textId="77777777" w:rsidR="00B63039" w:rsidRDefault="00B63039">
      <w:pPr>
        <w:rPr>
          <w:sz w:val="20"/>
          <w:szCs w:val="20"/>
        </w:rPr>
      </w:pPr>
    </w:p>
  </w:footnote>
  <w:footnote w:id="18">
    <w:p w14:paraId="00000048" w14:textId="77777777" w:rsidR="00B63039" w:rsidRDefault="001E30F6">
      <w:pPr>
        <w:rPr>
          <w:sz w:val="20"/>
          <w:szCs w:val="20"/>
        </w:rPr>
      </w:pPr>
      <w:r>
        <w:rPr>
          <w:vertAlign w:val="superscript"/>
        </w:rPr>
        <w:footnoteRef/>
      </w:r>
      <w:hyperlink r:id="rId19">
        <w:r>
          <w:rPr>
            <w:color w:val="1155CC"/>
            <w:sz w:val="20"/>
            <w:szCs w:val="20"/>
            <w:u w:val="single"/>
          </w:rPr>
          <w:t>https://marginalrevolution.com/marginalrevolution/2016/06/the-sotomayor-and-kagan-dissents-in-utah-v-strieff.html</w:t>
        </w:r>
      </w:hyperlink>
      <w:r>
        <w:rPr>
          <w:sz w:val="20"/>
          <w:szCs w:val="20"/>
        </w:rPr>
        <w:t xml:space="preserve">  </w:t>
      </w:r>
    </w:p>
  </w:footnote>
  <w:footnote w:id="19">
    <w:p w14:paraId="0000002F" w14:textId="77777777" w:rsidR="00B63039" w:rsidRDefault="001E30F6">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“The Never-Ending Mistreatment of Black Patients”</w:t>
      </w:r>
    </w:p>
    <w:p w14:paraId="00000030" w14:textId="77777777" w:rsidR="00B63039" w:rsidRDefault="00EA40C1">
      <w:pPr>
        <w:rPr>
          <w:rFonts w:ascii="Times New Roman" w:eastAsia="Times New Roman" w:hAnsi="Times New Roman" w:cs="Times New Roman"/>
          <w:sz w:val="20"/>
          <w:szCs w:val="20"/>
        </w:rPr>
      </w:pPr>
      <w:hyperlink r:id="rId20">
        <w:r w:rsidR="001E30F6">
          <w:rPr>
            <w:rFonts w:ascii="Times New Roman" w:eastAsia="Times New Roman" w:hAnsi="Times New Roman" w:cs="Times New Roman"/>
            <w:color w:val="1155CC"/>
            <w:sz w:val="20"/>
            <w:szCs w:val="20"/>
            <w:u w:val="single"/>
          </w:rPr>
          <w:t>https://www.nytimes.com/2019/06/29/opinion/sunday/hospice-end-of-life-racism.html?searchResultPosition=1</w:t>
        </w:r>
      </w:hyperlink>
      <w:r w:rsidR="001E30F6">
        <w:rPr>
          <w:rFonts w:ascii="Times New Roman" w:eastAsia="Times New Roman" w:hAnsi="Times New Roman" w:cs="Times New Roman"/>
          <w:sz w:val="20"/>
          <w:szCs w:val="20"/>
        </w:rPr>
        <w:t xml:space="preserve"> </w:t>
      </w:r>
    </w:p>
    <w:p w14:paraId="00000031" w14:textId="77777777" w:rsidR="00B63039" w:rsidRDefault="00B63039">
      <w:pPr>
        <w:rPr>
          <w:rFonts w:ascii="Times New Roman" w:eastAsia="Times New Roman" w:hAnsi="Times New Roman" w:cs="Times New Roman"/>
          <w:sz w:val="20"/>
          <w:szCs w:val="20"/>
        </w:rPr>
      </w:pPr>
    </w:p>
  </w:footnote>
  <w:footnote w:id="20">
    <w:p w14:paraId="00000049" w14:textId="77777777" w:rsidR="00B63039" w:rsidRDefault="001E30F6">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“Americans wearing ankle monitors, but all indications suggest that mass supervision, like mass incarceration, disproportionately affects black people. In Cook County, Ill., for instance, black people make up 24 percent of the population, and 67 percent of those on monitors. The sociologist Simone Browne has connected contemporary surveillance technologies like GPS monitors to America’s long history of controlling where black people live, move and work. In her 2015 book, “Dark Matters,” she traces the ways in which “surveillance is nothing new to black folks,” from the branding of enslaved people and the shackling of convict laborers to Jim Crow segregation and the home visits of welfare agencies. These historical inequities, Browne notes, influence where and on whom new tools like ankle monitors are imposed.”  Simone Browne, 2015, </w:t>
      </w:r>
      <w:r>
        <w:rPr>
          <w:rFonts w:ascii="Times New Roman" w:eastAsia="Times New Roman" w:hAnsi="Times New Roman" w:cs="Times New Roman"/>
          <w:b/>
          <w:i/>
          <w:sz w:val="20"/>
          <w:szCs w:val="20"/>
        </w:rPr>
        <w:t>Dark Matters: On the Surveillance of Blackness</w:t>
      </w:r>
      <w:r>
        <w:rPr>
          <w:rFonts w:ascii="Times New Roman" w:eastAsia="Times New Roman" w:hAnsi="Times New Roman" w:cs="Times New Roman"/>
          <w:sz w:val="20"/>
          <w:szCs w:val="20"/>
        </w:rPr>
        <w:t xml:space="preserve"> </w:t>
      </w:r>
    </w:p>
  </w:footnote>
  <w:footnote w:id="21">
    <w:p w14:paraId="0000004A" w14:textId="77777777" w:rsidR="00B63039" w:rsidRDefault="001E30F6">
      <w:pPr>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Andrea J. Ritchie   “A Warrant to Search Your Vagina.”                      </w:t>
      </w:r>
      <w:hyperlink r:id="rId21">
        <w:r>
          <w:rPr>
            <w:rFonts w:ascii="Times New Roman" w:eastAsia="Times New Roman" w:hAnsi="Times New Roman" w:cs="Times New Roman"/>
            <w:color w:val="1155CC"/>
            <w:sz w:val="20"/>
            <w:szCs w:val="20"/>
            <w:u w:val="single"/>
          </w:rPr>
          <w:t>https://www.nytimes.com/2017/07/21/opinion/sunday/black-women-police-brutality.html?smid=tw-share</w:t>
        </w:r>
      </w:hyperlink>
      <w:r>
        <w:rPr>
          <w:rFonts w:ascii="Times New Roman" w:eastAsia="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B" w14:textId="1CA8E9DA" w:rsidR="00B63039" w:rsidRDefault="001E30F6">
    <w:pPr>
      <w:jc w:val="right"/>
    </w:pPr>
    <w:r>
      <w:fldChar w:fldCharType="begin"/>
    </w:r>
    <w:r>
      <w:instrText>PAGE</w:instrText>
    </w:r>
    <w:r>
      <w:fldChar w:fldCharType="separate"/>
    </w:r>
    <w:r w:rsidR="00045D6B">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039"/>
    <w:rsid w:val="00045D6B"/>
    <w:rsid w:val="001E30F6"/>
    <w:rsid w:val="0040116B"/>
    <w:rsid w:val="004B7798"/>
    <w:rsid w:val="004E0D7C"/>
    <w:rsid w:val="00713D1B"/>
    <w:rsid w:val="007B493F"/>
    <w:rsid w:val="0082324F"/>
    <w:rsid w:val="00B63039"/>
    <w:rsid w:val="00EA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CC1D19"/>
  <w15:docId w15:val="{DF8E3E0F-750B-3640-A58E-9103FDE4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isonpolicy.org/reports/youth2018.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marginalrevolution.com/marginalrevolution/2016/06/the-sotomayor-and-kagan-dissents-in-utah-v-strieff.html" TargetMode="External"/><Relationship Id="rId13" Type="http://schemas.openxmlformats.org/officeDocument/2006/relationships/hyperlink" Target="https://www.epi.org/publication/african-americans-are-paid-less-than-whites-at-every-education-level/" TargetMode="External"/><Relationship Id="rId18" Type="http://schemas.openxmlformats.org/officeDocument/2006/relationships/hyperlink" Target="https://www.brookings.edu/research/black-and-hispanic-underrepresentation-in-tech-its-time-to-change-the-equation/" TargetMode="External"/><Relationship Id="rId3" Type="http://schemas.openxmlformats.org/officeDocument/2006/relationships/hyperlink" Target="https://www.knowablemagazine.org/article/society/2018/hidden-damage-solitary-confinement" TargetMode="External"/><Relationship Id="rId21" Type="http://schemas.openxmlformats.org/officeDocument/2006/relationships/hyperlink" Target="https://www.nytimes.com/2017/07/21/opinion/sunday/black-women-police-brutality.html?smid=tw-share" TargetMode="External"/><Relationship Id="rId7" Type="http://schemas.openxmlformats.org/officeDocument/2006/relationships/hyperlink" Target="https://www.washingtonpost.com/news/opinions/wp/2018/09/18/theres-overwhelming-evidence-that-the-criminal-justice-system-is-racist-heres-the-proof/?noredirect=on&amp;utm_term=.3138b68afb3c" TargetMode="External"/><Relationship Id="rId12" Type="http://schemas.openxmlformats.org/officeDocument/2006/relationships/hyperlink" Target="https://www.nytimes.com/2019/01/19/us/jemel-roberson-officer-ian-covey.html" TargetMode="External"/><Relationship Id="rId17" Type="http://schemas.openxmlformats.org/officeDocument/2006/relationships/hyperlink" Target="https://www.washingtonpost.com/news/business/wp/2019/02/28/feature/the-heartbreaking-decrease-in-black-homeownership/?utm_term=.7ae73f1d197b" TargetMode="External"/><Relationship Id="rId2" Type="http://schemas.openxmlformats.org/officeDocument/2006/relationships/hyperlink" Target="https://eji.org/news/sentencing-commission-finds-black-men-receive-longer-sentences" TargetMode="External"/><Relationship Id="rId16" Type="http://schemas.openxmlformats.org/officeDocument/2006/relationships/hyperlink" Target="https://www.vice.com/en_us/article/yw4pkw/weed-industry-equity-black-business" TargetMode="External"/><Relationship Id="rId20" Type="http://schemas.openxmlformats.org/officeDocument/2006/relationships/hyperlink" Target="https://www.nytimes.com/2019/06/29/opinion/sunday/hospice-end-of-life-racism.html?searchResultPosition=1" TargetMode="External"/><Relationship Id="rId1" Type="http://schemas.openxmlformats.org/officeDocument/2006/relationships/hyperlink" Target="https://www.burnsinstitute.org/tag/racial-and-ethnic-disparities/" TargetMode="External"/><Relationship Id="rId6" Type="http://schemas.openxmlformats.org/officeDocument/2006/relationships/hyperlink" Target="https://www.nytimes.com/2018/04/11/magazine/black-mothers-babies-death-maternal-mortality.html" TargetMode="External"/><Relationship Id="rId11" Type="http://schemas.openxmlformats.org/officeDocument/2006/relationships/hyperlink" Target="https://newsone.com/3854497/black-cop-sues-st-louis-police-shooting/" TargetMode="External"/><Relationship Id="rId5" Type="http://schemas.openxmlformats.org/officeDocument/2006/relationships/hyperlink" Target="https://www.cdc.gov/tobacco/disparities/african-americans/index.htm" TargetMode="External"/><Relationship Id="rId15" Type="http://schemas.openxmlformats.org/officeDocument/2006/relationships/hyperlink" Target="https://www.aclu.org/sites/default/files/field_document/ACF4F34.pdf" TargetMode="External"/><Relationship Id="rId10" Type="http://schemas.openxmlformats.org/officeDocument/2006/relationships/hyperlink" Target="https://www.nytimes.com/2019/05/03/us/mohamed-noor-guilty.html" TargetMode="External"/><Relationship Id="rId19" Type="http://schemas.openxmlformats.org/officeDocument/2006/relationships/hyperlink" Target="https://marginalrevolution.com/marginalrevolution/2016/06/the-sotomayor-and-kagan-dissents-in-utah-v-strieff.html" TargetMode="External"/><Relationship Id="rId4" Type="http://schemas.openxmlformats.org/officeDocument/2006/relationships/hyperlink" Target="http://www.msnbc.com/all/eugenic-sterilization-victims-belated-justice" TargetMode="External"/><Relationship Id="rId9" Type="http://schemas.openxmlformats.org/officeDocument/2006/relationships/hyperlink" Target="https://www.prisonpolicy.org/reports/incomejails.html" TargetMode="External"/><Relationship Id="rId14" Type="http://schemas.openxmlformats.org/officeDocument/2006/relationships/hyperlink" Target="https://www.theatlantic.com/politics/archive/2015/04/fergusons-fortune-500-company/3904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2020-07-13T20:22:00Z</dcterms:created>
  <dcterms:modified xsi:type="dcterms:W3CDTF">2020-07-13T20:22:00Z</dcterms:modified>
</cp:coreProperties>
</file>