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F6446" w14:textId="77777777" w:rsidR="000B5E9B" w:rsidRPr="000B5E9B" w:rsidRDefault="000B5E9B" w:rsidP="000B5E9B">
      <w:pPr>
        <w:rPr>
          <w:rFonts w:eastAsia="Times New Roman" w:cstheme="minorHAnsi"/>
          <w:color w:val="000000"/>
        </w:rPr>
      </w:pPr>
      <w:r w:rsidRPr="000B5E9B">
        <w:rPr>
          <w:rFonts w:eastAsia="Times New Roman" w:cstheme="minorHAnsi"/>
          <w:color w:val="000000"/>
        </w:rPr>
        <w:t>April 1, 2022</w:t>
      </w:r>
    </w:p>
    <w:p w14:paraId="6CB6D8BF" w14:textId="77777777" w:rsidR="000B5E9B" w:rsidRPr="000B5E9B" w:rsidRDefault="000B5E9B" w:rsidP="000B5E9B">
      <w:pPr>
        <w:rPr>
          <w:rFonts w:eastAsia="Times New Roman" w:cstheme="minorHAnsi"/>
          <w:color w:val="000000"/>
        </w:rPr>
      </w:pPr>
    </w:p>
    <w:p w14:paraId="3DA61963" w14:textId="77777777" w:rsidR="000B5E9B" w:rsidRPr="000B5E9B" w:rsidRDefault="000B5E9B" w:rsidP="000B5E9B">
      <w:pPr>
        <w:rPr>
          <w:rFonts w:eastAsia="Times New Roman" w:cstheme="minorHAnsi"/>
          <w:color w:val="000000"/>
        </w:rPr>
      </w:pPr>
      <w:r w:rsidRPr="000B5E9B">
        <w:rPr>
          <w:rFonts w:eastAsia="Times New Roman" w:cstheme="minorHAnsi"/>
          <w:color w:val="000000"/>
        </w:rPr>
        <w:t>The Honorable Kathy Hochul</w:t>
      </w:r>
    </w:p>
    <w:p w14:paraId="2828CA80" w14:textId="77777777" w:rsidR="000B5E9B" w:rsidRPr="000B5E9B" w:rsidRDefault="000B5E9B" w:rsidP="000B5E9B">
      <w:pPr>
        <w:rPr>
          <w:rFonts w:eastAsia="Times New Roman" w:cstheme="minorHAnsi"/>
          <w:color w:val="000000"/>
        </w:rPr>
      </w:pPr>
      <w:r w:rsidRPr="000B5E9B">
        <w:rPr>
          <w:rFonts w:eastAsia="Times New Roman" w:cstheme="minorHAnsi"/>
          <w:color w:val="000000"/>
        </w:rPr>
        <w:t>Governor of New York State</w:t>
      </w:r>
    </w:p>
    <w:p w14:paraId="3FED5AAE" w14:textId="77777777" w:rsidR="000B5E9B" w:rsidRPr="000B5E9B" w:rsidRDefault="000B5E9B" w:rsidP="000B5E9B">
      <w:pPr>
        <w:rPr>
          <w:rFonts w:eastAsia="Times New Roman" w:cstheme="minorHAnsi"/>
          <w:color w:val="000000"/>
        </w:rPr>
      </w:pPr>
      <w:r w:rsidRPr="000B5E9B">
        <w:rPr>
          <w:rFonts w:eastAsia="Times New Roman" w:cstheme="minorHAnsi"/>
          <w:color w:val="000000"/>
        </w:rPr>
        <w:t>NYS State Capitol Building</w:t>
      </w:r>
    </w:p>
    <w:p w14:paraId="0FBC984F" w14:textId="77777777" w:rsidR="000B5E9B" w:rsidRPr="000B5E9B" w:rsidRDefault="000B5E9B" w:rsidP="000B5E9B">
      <w:pPr>
        <w:rPr>
          <w:rFonts w:eastAsia="Times New Roman" w:cstheme="minorHAnsi"/>
          <w:color w:val="000000"/>
        </w:rPr>
      </w:pPr>
      <w:r w:rsidRPr="000B5E9B">
        <w:rPr>
          <w:rFonts w:eastAsia="Times New Roman" w:cstheme="minorHAnsi"/>
          <w:color w:val="000000"/>
        </w:rPr>
        <w:t>Albany, NY 12224</w:t>
      </w:r>
    </w:p>
    <w:p w14:paraId="512BD308" w14:textId="77777777" w:rsidR="000B5E9B" w:rsidRPr="000B5E9B" w:rsidRDefault="000B5E9B" w:rsidP="000B5E9B">
      <w:pPr>
        <w:rPr>
          <w:rFonts w:eastAsia="Times New Roman" w:cstheme="minorHAnsi"/>
          <w:color w:val="000000"/>
        </w:rPr>
      </w:pPr>
    </w:p>
    <w:p w14:paraId="194BCCED" w14:textId="77777777" w:rsidR="000B5E9B" w:rsidRPr="000B5E9B" w:rsidRDefault="000B5E9B" w:rsidP="000B5E9B">
      <w:pPr>
        <w:rPr>
          <w:rFonts w:eastAsia="Times New Roman" w:cstheme="minorHAnsi"/>
          <w:color w:val="000000"/>
        </w:rPr>
      </w:pPr>
      <w:r w:rsidRPr="000B5E9B">
        <w:rPr>
          <w:rFonts w:eastAsia="Times New Roman" w:cstheme="minorHAnsi"/>
          <w:b/>
          <w:bCs/>
          <w:color w:val="000000"/>
        </w:rPr>
        <w:t>Re:</w:t>
      </w:r>
      <w:r w:rsidRPr="000B5E9B">
        <w:rPr>
          <w:rFonts w:eastAsia="Times New Roman" w:cstheme="minorHAnsi"/>
          <w:b/>
          <w:bCs/>
          <w:color w:val="000000"/>
        </w:rPr>
        <w:tab/>
        <w:t>Proposed Changes to Discovery Rules in New York State</w:t>
      </w:r>
    </w:p>
    <w:p w14:paraId="0C014C9C" w14:textId="77777777" w:rsidR="000B5E9B" w:rsidRPr="000B5E9B" w:rsidRDefault="000B5E9B" w:rsidP="000B5E9B">
      <w:pPr>
        <w:spacing w:after="240"/>
        <w:rPr>
          <w:rFonts w:eastAsia="Times New Roman" w:cstheme="minorHAnsi"/>
          <w:color w:val="000000"/>
        </w:rPr>
      </w:pPr>
    </w:p>
    <w:p w14:paraId="28E4AC1A" w14:textId="77777777" w:rsidR="000B5E9B" w:rsidRPr="000B5E9B" w:rsidRDefault="000B5E9B" w:rsidP="000B5E9B">
      <w:pPr>
        <w:rPr>
          <w:rFonts w:eastAsia="Times New Roman" w:cstheme="minorHAnsi"/>
          <w:color w:val="000000"/>
        </w:rPr>
      </w:pPr>
      <w:r w:rsidRPr="000B5E9B">
        <w:rPr>
          <w:rFonts w:eastAsia="Times New Roman" w:cstheme="minorHAnsi"/>
          <w:color w:val="000000"/>
        </w:rPr>
        <w:t>Dear Gov. Hochul:</w:t>
      </w:r>
    </w:p>
    <w:p w14:paraId="67AB3A75" w14:textId="77777777" w:rsidR="000B5E9B" w:rsidRPr="000B5E9B" w:rsidRDefault="000B5E9B" w:rsidP="000B5E9B">
      <w:pPr>
        <w:rPr>
          <w:rFonts w:eastAsia="Times New Roman" w:cstheme="minorHAnsi"/>
          <w:color w:val="000000"/>
        </w:rPr>
      </w:pPr>
    </w:p>
    <w:p w14:paraId="2EEE929E" w14:textId="77777777" w:rsidR="000B5E9B" w:rsidRPr="000B5E9B" w:rsidRDefault="000B5E9B" w:rsidP="000B5E9B">
      <w:pPr>
        <w:rPr>
          <w:rFonts w:eastAsia="Times New Roman" w:cstheme="minorHAnsi"/>
          <w:color w:val="000000"/>
        </w:rPr>
      </w:pPr>
      <w:r w:rsidRPr="000B5E9B">
        <w:rPr>
          <w:rFonts w:eastAsia="Times New Roman" w:cstheme="minorHAnsi"/>
          <w:color w:val="000000"/>
        </w:rPr>
        <w:t>The undersigned organizations collectively write to you with respect to the changes to New York State’s discovery rules proposed in your office’s “Ten Point Plan” for consideration in the FY23 budget.  As legal &amp; civil rights advocates, we implore you to keep intact the 2019 discovery law which was developed through an extensive and deliberative multi-year process that included impacted people, community groups, legal organizations and stakeholders from all corners of the criminal legal community.  The 2019 law reformed draconian discovery rules which had been the law of the land for nearly a half century in New York, a law which had been ranked fourth from the bottom in the United States. The well-informed decision to repeal the Blindfold Law at long last brought New York in line with conservative states like Texas and North Carolina that have reformed their discovery laws.</w:t>
      </w:r>
    </w:p>
    <w:p w14:paraId="117B7165" w14:textId="77777777" w:rsidR="000B5E9B" w:rsidRPr="000B5E9B" w:rsidRDefault="000B5E9B" w:rsidP="000B5E9B">
      <w:pPr>
        <w:rPr>
          <w:rFonts w:eastAsia="Times New Roman" w:cstheme="minorHAnsi"/>
          <w:color w:val="000000"/>
        </w:rPr>
      </w:pPr>
    </w:p>
    <w:p w14:paraId="47B9F9CC" w14:textId="77777777" w:rsidR="000B5E9B" w:rsidRPr="000B5E9B" w:rsidRDefault="000B5E9B" w:rsidP="000B5E9B">
      <w:pPr>
        <w:rPr>
          <w:rFonts w:eastAsia="Times New Roman" w:cstheme="minorHAnsi"/>
          <w:color w:val="000000"/>
        </w:rPr>
      </w:pPr>
      <w:r w:rsidRPr="000B5E9B">
        <w:rPr>
          <w:rFonts w:eastAsia="Times New Roman" w:cstheme="minorHAnsi"/>
          <w:color w:val="000000"/>
        </w:rPr>
        <w:t>While calls to address public safety concerns in New York have increased during what can only be described as a mental health crisis, the appropriate policy solution is proper funding of community-based mental and behavioral health care services, not rolling back the discovery rules that enable the accused to avail themselves of their constitutional due process rights, including the right to present an adequate defense.  </w:t>
      </w:r>
    </w:p>
    <w:p w14:paraId="44B0D33D" w14:textId="77777777" w:rsidR="000B5E9B" w:rsidRPr="000B5E9B" w:rsidRDefault="000B5E9B" w:rsidP="000B5E9B">
      <w:pPr>
        <w:rPr>
          <w:rFonts w:eastAsia="Times New Roman" w:cstheme="minorHAnsi"/>
          <w:color w:val="000000"/>
        </w:rPr>
      </w:pPr>
    </w:p>
    <w:p w14:paraId="4EA4939E" w14:textId="1A58DF86" w:rsidR="000B5E9B" w:rsidRPr="000B5E9B" w:rsidRDefault="000B5E9B" w:rsidP="000B5E9B">
      <w:pPr>
        <w:rPr>
          <w:rFonts w:eastAsia="Times New Roman" w:cstheme="minorHAnsi"/>
          <w:color w:val="000000"/>
        </w:rPr>
      </w:pPr>
      <w:r w:rsidRPr="000B5E9B">
        <w:rPr>
          <w:rFonts w:eastAsia="Times New Roman" w:cstheme="minorHAnsi"/>
          <w:color w:val="000000"/>
        </w:rPr>
        <w:t xml:space="preserve">Police and prosecutors have an enormous advantage when it comes to accessing evidence in criminal cases. They are the first at the crime scene collecting evidence, identifying witnesses and questioning suspects. And up until 2019, the prosecution </w:t>
      </w:r>
      <w:r w:rsidR="002F0A23" w:rsidRPr="000B5E9B">
        <w:rPr>
          <w:rFonts w:eastAsia="Times New Roman" w:cstheme="minorHAnsi"/>
          <w:color w:val="000000"/>
        </w:rPr>
        <w:t>had wide</w:t>
      </w:r>
      <w:r w:rsidRPr="000B5E9B">
        <w:rPr>
          <w:rFonts w:eastAsia="Times New Roman" w:cstheme="minorHAnsi"/>
          <w:color w:val="000000"/>
        </w:rPr>
        <w:t>-ranging discretion to negotiate plea deals and sentences of incarceration without ever providing the accused and their legal counsel with critical information about the case against them.  New York’s discovery law now ensures that both sides in a legal case have prompt and comprehensive access to this information so that the accused can make informed plea agreements and, in cases where the accused is innocent, defend against wrongful convictions.  Robust and early discovery is foundational to the truth-seeking process in our criminal legal system–judges, juries and defendants can only make sound decisions when all the facts come to light. </w:t>
      </w:r>
    </w:p>
    <w:p w14:paraId="1ABFE0AE" w14:textId="77777777" w:rsidR="000B5E9B" w:rsidRPr="000B5E9B" w:rsidRDefault="000B5E9B" w:rsidP="000B5E9B">
      <w:pPr>
        <w:rPr>
          <w:rFonts w:eastAsia="Times New Roman" w:cstheme="minorHAnsi"/>
          <w:color w:val="000000"/>
        </w:rPr>
      </w:pPr>
    </w:p>
    <w:p w14:paraId="4E1B233D" w14:textId="77777777" w:rsidR="000B5E9B" w:rsidRPr="000B5E9B" w:rsidRDefault="000B5E9B" w:rsidP="000B5E9B">
      <w:pPr>
        <w:rPr>
          <w:rFonts w:eastAsia="Times New Roman" w:cstheme="minorHAnsi"/>
          <w:color w:val="000000"/>
        </w:rPr>
      </w:pPr>
      <w:r w:rsidRPr="000B5E9B">
        <w:rPr>
          <w:rFonts w:eastAsia="Times New Roman" w:cstheme="minorHAnsi"/>
          <w:color w:val="000000"/>
        </w:rPr>
        <w:t xml:space="preserve">A strong discovery law is also fundamental to an effective public safety plan.  It protects innocent people, and allows law enforcement to focus its energy on detecting those who have actually committed crimes. It streamlines the court process both before and after conviction, avoids protracted litigation spent processing post-conviction claims alleging that evidence had </w:t>
      </w:r>
      <w:r w:rsidRPr="000B5E9B">
        <w:rPr>
          <w:rFonts w:eastAsia="Times New Roman" w:cstheme="minorHAnsi"/>
          <w:color w:val="000000"/>
        </w:rPr>
        <w:lastRenderedPageBreak/>
        <w:t>been withheld.  Protecting transparency and due process through fair discovery laws is essential to keeping our communities safe. New York must never put the blindfold back on. </w:t>
      </w:r>
    </w:p>
    <w:p w14:paraId="0223C590" w14:textId="77777777" w:rsidR="000B5E9B" w:rsidRPr="000B5E9B" w:rsidRDefault="000B5E9B" w:rsidP="000B5E9B">
      <w:pPr>
        <w:rPr>
          <w:rFonts w:eastAsia="Times New Roman" w:cstheme="minorHAnsi"/>
          <w:color w:val="000000"/>
        </w:rPr>
      </w:pPr>
    </w:p>
    <w:p w14:paraId="315ED618" w14:textId="77777777" w:rsidR="000B5E9B" w:rsidRPr="000B5E9B" w:rsidRDefault="000B5E9B" w:rsidP="000B5E9B">
      <w:pPr>
        <w:rPr>
          <w:rFonts w:eastAsia="Times New Roman" w:cstheme="minorHAnsi"/>
          <w:color w:val="000000"/>
        </w:rPr>
      </w:pPr>
      <w:r w:rsidRPr="000B5E9B">
        <w:rPr>
          <w:rFonts w:eastAsia="Times New Roman" w:cstheme="minorHAnsi"/>
          <w:b/>
          <w:bCs/>
          <w:color w:val="000000"/>
        </w:rPr>
        <w:t>As budget negotiations unfold, we ask that you honor the following principles and priorities:</w:t>
      </w:r>
    </w:p>
    <w:p w14:paraId="1E4813B7" w14:textId="77777777" w:rsidR="000B5E9B" w:rsidRPr="000B5E9B" w:rsidRDefault="000B5E9B" w:rsidP="000B5E9B">
      <w:pPr>
        <w:rPr>
          <w:rFonts w:eastAsia="Times New Roman" w:cstheme="minorHAnsi"/>
          <w:color w:val="000000"/>
        </w:rPr>
      </w:pPr>
      <w:r w:rsidRPr="000B5E9B">
        <w:rPr>
          <w:rFonts w:eastAsia="Times New Roman" w:cstheme="minorHAnsi"/>
          <w:color w:val="000000"/>
        </w:rPr>
        <w:br/>
      </w:r>
    </w:p>
    <w:p w14:paraId="4E29186A" w14:textId="77777777" w:rsidR="000B5E9B" w:rsidRPr="000B5E9B" w:rsidRDefault="000B5E9B" w:rsidP="000B5E9B">
      <w:pPr>
        <w:numPr>
          <w:ilvl w:val="0"/>
          <w:numId w:val="1"/>
        </w:numPr>
        <w:textAlignment w:val="baseline"/>
        <w:rPr>
          <w:rFonts w:eastAsia="Times New Roman" w:cstheme="minorHAnsi"/>
          <w:color w:val="000000"/>
        </w:rPr>
      </w:pPr>
      <w:r w:rsidRPr="000B5E9B">
        <w:rPr>
          <w:rFonts w:eastAsia="Times New Roman" w:cstheme="minorHAnsi"/>
          <w:i/>
          <w:iCs/>
          <w:color w:val="000000"/>
        </w:rPr>
        <w:t xml:space="preserve">Speedy trial tied to turning over discovery. </w:t>
      </w:r>
      <w:r w:rsidRPr="000B5E9B">
        <w:rPr>
          <w:rFonts w:eastAsia="Times New Roman" w:cstheme="minorHAnsi"/>
          <w:color w:val="000000"/>
        </w:rPr>
        <w:t>The disclosure of discovery under Criminal Procedure Law § 245 is currently tied to specific speedy trial timelines under CPL § 30.30. Speedy trial is the enforcement mechanism to ensure discovery obligations are met. Under current law, DAs must obtain discovery within a reasonable timeframe, from law enforcement and other sources, or be charged with speedy trial time for failure to do so. Any attempts to change timelines, requiring only “good faith” exceptions, or shifting the burden to the defense to show prejudice will divorce speedy trial protections from discovery disclosure, undermining the goal of discovery reform of ensuring that the criminal legal process is timely and transparent.</w:t>
      </w:r>
    </w:p>
    <w:p w14:paraId="199A788C" w14:textId="77777777" w:rsidR="000B5E9B" w:rsidRPr="000B5E9B" w:rsidRDefault="000B5E9B" w:rsidP="000B5E9B">
      <w:pPr>
        <w:rPr>
          <w:rFonts w:eastAsia="Times New Roman" w:cstheme="minorHAnsi"/>
          <w:color w:val="000000"/>
        </w:rPr>
      </w:pPr>
      <w:r w:rsidRPr="000B5E9B">
        <w:rPr>
          <w:rFonts w:eastAsia="Times New Roman" w:cstheme="minorHAnsi"/>
          <w:color w:val="000000"/>
        </w:rPr>
        <w:br/>
      </w:r>
    </w:p>
    <w:p w14:paraId="560F44C3" w14:textId="77777777" w:rsidR="000B5E9B" w:rsidRPr="000B5E9B" w:rsidRDefault="000B5E9B" w:rsidP="000B5E9B">
      <w:pPr>
        <w:numPr>
          <w:ilvl w:val="0"/>
          <w:numId w:val="2"/>
        </w:numPr>
        <w:textAlignment w:val="baseline"/>
        <w:rPr>
          <w:rFonts w:eastAsia="Times New Roman" w:cstheme="minorHAnsi"/>
          <w:i/>
          <w:iCs/>
          <w:color w:val="000000"/>
        </w:rPr>
      </w:pPr>
      <w:r w:rsidRPr="000B5E9B">
        <w:rPr>
          <w:rFonts w:eastAsia="Times New Roman" w:cstheme="minorHAnsi"/>
          <w:i/>
          <w:iCs/>
          <w:color w:val="000000"/>
        </w:rPr>
        <w:t>Police and prosecution must be accountable for discovery compliance.</w:t>
      </w:r>
      <w:r w:rsidRPr="000B5E9B">
        <w:rPr>
          <w:rFonts w:eastAsia="Times New Roman" w:cstheme="minorHAnsi"/>
          <w:color w:val="000000"/>
        </w:rPr>
        <w:t xml:space="preserve"> Under the current discovery law, DAs have the obligation, as close partners with law enforcement, to obtain evidence from the police. It is wholly appropriate and expected that DAs should bear that responsibility, given not only the relationship between the DAs and local law enforcement, but given consistent rulings from the Supreme Court that the prosecution is obligated to obtain materials and documents from law enforcement.  Otherwise, this invites law enforcement to hold back critical documents which may be exculpatory in nature.  This would create a breeding ground for wrongful convictions.</w:t>
      </w:r>
    </w:p>
    <w:p w14:paraId="22CDC5A2" w14:textId="77777777" w:rsidR="000B5E9B" w:rsidRPr="000B5E9B" w:rsidRDefault="000B5E9B" w:rsidP="000B5E9B">
      <w:pPr>
        <w:rPr>
          <w:rFonts w:eastAsia="Times New Roman" w:cstheme="minorHAnsi"/>
          <w:color w:val="000000"/>
        </w:rPr>
      </w:pPr>
    </w:p>
    <w:p w14:paraId="4B2394B1" w14:textId="77777777" w:rsidR="000B5E9B" w:rsidRPr="000B5E9B" w:rsidRDefault="000B5E9B" w:rsidP="000B5E9B">
      <w:pPr>
        <w:rPr>
          <w:rFonts w:eastAsia="Times New Roman" w:cstheme="minorHAnsi"/>
          <w:color w:val="000000"/>
        </w:rPr>
      </w:pPr>
      <w:r w:rsidRPr="000B5E9B">
        <w:rPr>
          <w:rFonts w:eastAsia="Times New Roman" w:cstheme="minorHAnsi"/>
          <w:b/>
          <w:bCs/>
          <w:color w:val="000000"/>
        </w:rPr>
        <w:t>The following proposals would devastate the robust discovery framework established by the 2019 law:</w:t>
      </w:r>
    </w:p>
    <w:p w14:paraId="2F0C3706" w14:textId="77777777" w:rsidR="000B5E9B" w:rsidRPr="000B5E9B" w:rsidRDefault="000B5E9B" w:rsidP="000B5E9B">
      <w:pPr>
        <w:rPr>
          <w:rFonts w:eastAsia="Times New Roman" w:cstheme="minorHAnsi"/>
          <w:color w:val="000000"/>
        </w:rPr>
      </w:pPr>
      <w:r w:rsidRPr="000B5E9B">
        <w:rPr>
          <w:rFonts w:eastAsia="Times New Roman" w:cstheme="minorHAnsi"/>
          <w:color w:val="000000"/>
        </w:rPr>
        <w:br/>
      </w:r>
    </w:p>
    <w:p w14:paraId="02A7AA2A" w14:textId="77777777" w:rsidR="000B5E9B" w:rsidRPr="000B5E9B" w:rsidRDefault="000B5E9B" w:rsidP="000B5E9B">
      <w:pPr>
        <w:numPr>
          <w:ilvl w:val="0"/>
          <w:numId w:val="3"/>
        </w:numPr>
        <w:textAlignment w:val="baseline"/>
        <w:rPr>
          <w:rFonts w:eastAsia="Times New Roman" w:cstheme="minorHAnsi"/>
          <w:i/>
          <w:iCs/>
          <w:color w:val="000000"/>
        </w:rPr>
      </w:pPr>
      <w:r w:rsidRPr="000B5E9B">
        <w:rPr>
          <w:rFonts w:eastAsia="Times New Roman" w:cstheme="minorHAnsi"/>
          <w:i/>
          <w:iCs/>
          <w:color w:val="000000"/>
        </w:rPr>
        <w:t>Shift the burden onto the defense.</w:t>
      </w:r>
      <w:r w:rsidRPr="000B5E9B">
        <w:rPr>
          <w:rFonts w:eastAsia="Times New Roman" w:cstheme="minorHAnsi"/>
          <w:color w:val="000000"/>
        </w:rPr>
        <w:t xml:space="preserve"> The current discovery law rightfully requires the DA to comply with discovery obligations given their knowledge and control of all the information. Any attempt to change the current discovery law to ease the DA’s burden or relieve them of obligations is improper. All evidence should be turned over. Any attempt to require the defense to show prejudice is an unworkable standard that requires prosecutors and courts to make a value judgment about discovery.  These value judgments will result in prolonged arguments and disparate results throughout the state.</w:t>
      </w:r>
    </w:p>
    <w:p w14:paraId="7537BD95" w14:textId="77777777" w:rsidR="000B5E9B" w:rsidRPr="000B5E9B" w:rsidRDefault="000B5E9B" w:rsidP="000B5E9B">
      <w:pPr>
        <w:rPr>
          <w:rFonts w:eastAsia="Times New Roman" w:cstheme="minorHAnsi"/>
          <w:color w:val="000000"/>
        </w:rPr>
      </w:pPr>
      <w:r w:rsidRPr="000B5E9B">
        <w:rPr>
          <w:rFonts w:eastAsia="Times New Roman" w:cstheme="minorHAnsi"/>
          <w:color w:val="000000"/>
        </w:rPr>
        <w:br/>
      </w:r>
    </w:p>
    <w:p w14:paraId="76710366" w14:textId="77777777" w:rsidR="000B5E9B" w:rsidRPr="000B5E9B" w:rsidRDefault="000B5E9B" w:rsidP="000B5E9B">
      <w:pPr>
        <w:numPr>
          <w:ilvl w:val="0"/>
          <w:numId w:val="4"/>
        </w:numPr>
        <w:textAlignment w:val="baseline"/>
        <w:rPr>
          <w:rFonts w:eastAsia="Times New Roman" w:cstheme="minorHAnsi"/>
          <w:i/>
          <w:iCs/>
          <w:color w:val="000000"/>
        </w:rPr>
      </w:pPr>
      <w:r w:rsidRPr="000B5E9B">
        <w:rPr>
          <w:rFonts w:eastAsia="Times New Roman" w:cstheme="minorHAnsi"/>
          <w:i/>
          <w:iCs/>
          <w:color w:val="000000"/>
        </w:rPr>
        <w:t>Limit disclosure to what is in the DA’s actual possession.</w:t>
      </w:r>
      <w:r w:rsidRPr="000B5E9B">
        <w:rPr>
          <w:rFonts w:eastAsia="Times New Roman" w:cstheme="minorHAnsi"/>
          <w:color w:val="000000"/>
        </w:rPr>
        <w:t xml:space="preserve"> Any attempt to roll back discovery obligations so that DAs need only turn over evidence that is actually in their possession will absolve the police from ever turning over discovery, including </w:t>
      </w:r>
      <w:r w:rsidRPr="000B5E9B">
        <w:rPr>
          <w:rFonts w:eastAsia="Times New Roman" w:cstheme="minorHAnsi"/>
          <w:color w:val="000000"/>
        </w:rPr>
        <w:lastRenderedPageBreak/>
        <w:t>exculpatory discovery.  This will lead to countless wrongful convictions and coerced pleas from the innocent.</w:t>
      </w:r>
    </w:p>
    <w:p w14:paraId="689C6427" w14:textId="77777777" w:rsidR="000B5E9B" w:rsidRPr="000B5E9B" w:rsidRDefault="000B5E9B" w:rsidP="000B5E9B">
      <w:pPr>
        <w:rPr>
          <w:rFonts w:eastAsia="Times New Roman" w:cstheme="minorHAnsi"/>
          <w:color w:val="000000"/>
        </w:rPr>
      </w:pPr>
    </w:p>
    <w:p w14:paraId="52BB0EFF" w14:textId="77777777" w:rsidR="000B5E9B" w:rsidRPr="000B5E9B" w:rsidRDefault="000B5E9B" w:rsidP="000B5E9B">
      <w:pPr>
        <w:rPr>
          <w:rFonts w:eastAsia="Times New Roman" w:cstheme="minorHAnsi"/>
          <w:color w:val="000000"/>
        </w:rPr>
      </w:pPr>
      <w:r w:rsidRPr="000B5E9B">
        <w:rPr>
          <w:rFonts w:eastAsia="Times New Roman" w:cstheme="minorHAnsi"/>
          <w:color w:val="000000"/>
          <w:shd w:val="clear" w:color="auto" w:fill="FFFFFF"/>
        </w:rPr>
        <w:t xml:space="preserve">Just one month ago, the National Registry of Exonerations revealed the nation’s </w:t>
      </w:r>
      <w:hyperlink r:id="rId5" w:history="1">
        <w:r w:rsidRPr="000B5E9B">
          <w:rPr>
            <w:rFonts w:eastAsia="Times New Roman" w:cstheme="minorHAnsi"/>
            <w:color w:val="4492E0"/>
            <w:u w:val="single"/>
          </w:rPr>
          <w:t>3,000th wrongful conviction</w:t>
        </w:r>
      </w:hyperlink>
      <w:r w:rsidRPr="000B5E9B">
        <w:rPr>
          <w:rFonts w:eastAsia="Times New Roman" w:cstheme="minorHAnsi"/>
          <w:color w:val="000000"/>
          <w:shd w:val="clear" w:color="auto" w:fill="FFFFFF"/>
        </w:rPr>
        <w:t xml:space="preserve"> (since 1989). A staggering </w:t>
      </w:r>
      <w:hyperlink r:id="rId6" w:history="1">
        <w:r w:rsidRPr="000B5E9B">
          <w:rPr>
            <w:rFonts w:eastAsia="Times New Roman" w:cstheme="minorHAnsi"/>
            <w:color w:val="4492E0"/>
            <w:u w:val="single"/>
          </w:rPr>
          <w:t>20% of these people had pled guilty</w:t>
        </w:r>
      </w:hyperlink>
      <w:r w:rsidRPr="000B5E9B">
        <w:rPr>
          <w:rFonts w:eastAsia="Times New Roman" w:cstheme="minorHAnsi"/>
          <w:color w:val="000000"/>
          <w:shd w:val="clear" w:color="auto" w:fill="FFFFFF"/>
        </w:rPr>
        <w:t xml:space="preserve"> to crimes </w:t>
      </w:r>
      <w:hyperlink r:id="rId7" w:history="1">
        <w:r w:rsidRPr="000B5E9B">
          <w:rPr>
            <w:rFonts w:eastAsia="Times New Roman" w:cstheme="minorHAnsi"/>
            <w:color w:val="4492E0"/>
            <w:u w:val="single"/>
          </w:rPr>
          <w:t>they did not commit</w:t>
        </w:r>
      </w:hyperlink>
      <w:r w:rsidRPr="000B5E9B">
        <w:rPr>
          <w:rFonts w:eastAsia="Times New Roman" w:cstheme="minorHAnsi"/>
          <w:color w:val="000000"/>
          <w:shd w:val="clear" w:color="auto" w:fill="FFFFFF"/>
        </w:rPr>
        <w:t>. This number is just the tip of the iceberg because not only are there comparatively few lawyers litigating post-conviction claims, but these figures largely fail to capture misdemeanor wrongful convictions, a huge universe of cases that are rarely revealed post-conviction.</w:t>
      </w:r>
    </w:p>
    <w:p w14:paraId="6D3B3CE0" w14:textId="77777777" w:rsidR="000B5E9B" w:rsidRPr="000B5E9B" w:rsidRDefault="000B5E9B" w:rsidP="000B5E9B">
      <w:pPr>
        <w:rPr>
          <w:rFonts w:eastAsia="Times New Roman" w:cstheme="minorHAnsi"/>
          <w:color w:val="000000"/>
        </w:rPr>
      </w:pPr>
    </w:p>
    <w:p w14:paraId="149B6154" w14:textId="77777777" w:rsidR="000B5E9B" w:rsidRPr="000B5E9B" w:rsidRDefault="000B5E9B" w:rsidP="000B5E9B">
      <w:pPr>
        <w:rPr>
          <w:rFonts w:eastAsia="Times New Roman" w:cstheme="minorHAnsi"/>
          <w:color w:val="000000"/>
        </w:rPr>
      </w:pPr>
      <w:r w:rsidRPr="000B5E9B">
        <w:rPr>
          <w:rFonts w:eastAsia="Times New Roman" w:cstheme="minorHAnsi"/>
          <w:color w:val="000000"/>
        </w:rPr>
        <w:t>Unlike the frenetic budget process under which we are all presently laboring, the 2019 discovery law grew out of thoughtful deliberations. Indeed, the law had practically no opportunity to flourish since the onset of the pandemic coincided with the start date for implementation. More than $40 million was dedicated to implementation at that time, and an additional $59 million is being considered in this budget process.  (This can be compared with wrongful conviction settlements that typically award New Yorkers $1 million for each year of wrongful incarceration.)</w:t>
      </w:r>
    </w:p>
    <w:p w14:paraId="27F1820C" w14:textId="77777777" w:rsidR="000B5E9B" w:rsidRPr="000B5E9B" w:rsidRDefault="000B5E9B" w:rsidP="000B5E9B">
      <w:pPr>
        <w:rPr>
          <w:rFonts w:eastAsia="Times New Roman" w:cstheme="minorHAnsi"/>
          <w:color w:val="000000"/>
        </w:rPr>
      </w:pPr>
    </w:p>
    <w:p w14:paraId="7716D87A" w14:textId="77777777" w:rsidR="000B5E9B" w:rsidRPr="000B5E9B" w:rsidRDefault="000B5E9B" w:rsidP="000B5E9B">
      <w:pPr>
        <w:rPr>
          <w:rFonts w:eastAsia="Times New Roman" w:cstheme="minorHAnsi"/>
          <w:color w:val="000000"/>
        </w:rPr>
      </w:pPr>
      <w:r w:rsidRPr="000B5E9B">
        <w:rPr>
          <w:rFonts w:eastAsia="Times New Roman" w:cstheme="minorHAnsi"/>
          <w:color w:val="000000"/>
        </w:rPr>
        <w:t>If the prosecution is experiencing issues with law enforcement disclosures, this is an issue best resolved through dedicated staff responsible for discovery disclosures and electronic discovery, not through undermining a framework that assures fidelity to the Constitution. Changes to the discovery framework promise to devastate a fair and just criminal legal process, disproportionately harm communities of color, and will certainly do nothing to make the public feel, or actually be, safer.  </w:t>
      </w:r>
    </w:p>
    <w:p w14:paraId="427BC385" w14:textId="77777777" w:rsidR="000B5E9B" w:rsidRPr="000B5E9B" w:rsidRDefault="000B5E9B" w:rsidP="000B5E9B">
      <w:pPr>
        <w:rPr>
          <w:rFonts w:eastAsia="Times New Roman" w:cstheme="minorHAnsi"/>
          <w:color w:val="000000"/>
        </w:rPr>
      </w:pPr>
    </w:p>
    <w:p w14:paraId="2108A141"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Rather than scaling back these transformational pretrial reforms, the Empire State would do well to, at long last, invest in community-based mental healthcare, mobile crisis units, and other supports for people who have mental health needs, as well as electronic discovery technology to implement the law properly. Resources like these are what would make all of us safer. Facts and not fear must dictate policymaking. To do otherwise would be to ignore the data at the expense of countless New Yorkers.</w:t>
      </w:r>
    </w:p>
    <w:p w14:paraId="631F0F95"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 </w:t>
      </w:r>
    </w:p>
    <w:p w14:paraId="1AA2FCE8" w14:textId="1B0BF094" w:rsidR="000B5E9B" w:rsidRPr="00B0389E" w:rsidRDefault="00B0389E" w:rsidP="000B5E9B">
      <w:pPr>
        <w:shd w:val="clear" w:color="auto" w:fill="FFFFFF"/>
        <w:rPr>
          <w:rFonts w:eastAsia="Times New Roman" w:cstheme="minorHAnsi"/>
          <w:color w:val="000000"/>
        </w:rPr>
      </w:pPr>
      <w:r w:rsidRPr="00B0389E">
        <w:rPr>
          <w:rFonts w:eastAsia="Times New Roman" w:cstheme="minorHAnsi"/>
          <w:color w:val="000000"/>
        </w:rPr>
        <w:t>Sincerely,</w:t>
      </w:r>
    </w:p>
    <w:p w14:paraId="02FEE4B1" w14:textId="67A75CE0"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  </w:t>
      </w:r>
    </w:p>
    <w:p w14:paraId="0797FE6C"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Bronx Defenders</w:t>
      </w:r>
    </w:p>
    <w:p w14:paraId="6D08177A"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Brooklyn Defender Services </w:t>
      </w:r>
    </w:p>
    <w:p w14:paraId="6A799486" w14:textId="58433010" w:rsidR="000B5E9B" w:rsidRDefault="000B5E9B" w:rsidP="000B5E9B">
      <w:pPr>
        <w:shd w:val="clear" w:color="auto" w:fill="FFFFFF"/>
        <w:rPr>
          <w:rFonts w:eastAsia="Times New Roman" w:cstheme="minorHAnsi"/>
          <w:color w:val="000000"/>
        </w:rPr>
      </w:pPr>
      <w:r w:rsidRPr="000B5E9B">
        <w:rPr>
          <w:rFonts w:eastAsia="Times New Roman" w:cstheme="minorHAnsi"/>
          <w:color w:val="000000"/>
        </w:rPr>
        <w:t>Center for Community Alternatives, Inc. (CCA)</w:t>
      </w:r>
    </w:p>
    <w:p w14:paraId="2497B14D" w14:textId="4EA4260D" w:rsidR="0007420B" w:rsidRPr="000B5E9B" w:rsidRDefault="0007420B" w:rsidP="000B5E9B">
      <w:pPr>
        <w:shd w:val="clear" w:color="auto" w:fill="FFFFFF"/>
        <w:rPr>
          <w:rFonts w:eastAsia="Times New Roman" w:cstheme="minorHAnsi"/>
          <w:color w:val="000000"/>
        </w:rPr>
      </w:pPr>
      <w:r>
        <w:rPr>
          <w:rFonts w:eastAsia="Times New Roman" w:cstheme="minorHAnsi"/>
          <w:color w:val="000000"/>
        </w:rPr>
        <w:t>Center for Appellate Litigation</w:t>
      </w:r>
    </w:p>
    <w:p w14:paraId="5543DB47"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Chief Defenders Association of New York</w:t>
      </w:r>
    </w:p>
    <w:p w14:paraId="274023A3"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Citizen Action of New York</w:t>
      </w:r>
    </w:p>
    <w:p w14:paraId="62A3ECD2"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Close Rosie’s</w:t>
      </w:r>
    </w:p>
    <w:p w14:paraId="45C10E81"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College &amp; Community Fellowship</w:t>
      </w:r>
    </w:p>
    <w:p w14:paraId="1A563904"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Common Justice</w:t>
      </w:r>
    </w:p>
    <w:p w14:paraId="78D6133C"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Discovery for Justice</w:t>
      </w:r>
    </w:p>
    <w:p w14:paraId="47ACDB42"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lastRenderedPageBreak/>
        <w:t>Drug Policy Alliance (DPA)</w:t>
      </w:r>
    </w:p>
    <w:p w14:paraId="4D64538F"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Empowerment Collaborative of Long Island (ECLI)</w:t>
      </w:r>
    </w:p>
    <w:p w14:paraId="128A5AFE" w14:textId="521939A4" w:rsidR="00C41444" w:rsidRPr="00B0389E" w:rsidRDefault="00C41444" w:rsidP="000B5E9B">
      <w:pPr>
        <w:shd w:val="clear" w:color="auto" w:fill="FFFFFF"/>
        <w:rPr>
          <w:rFonts w:eastAsia="Times New Roman" w:cstheme="minorHAnsi"/>
          <w:color w:val="000000"/>
        </w:rPr>
      </w:pPr>
      <w:r w:rsidRPr="00B0389E">
        <w:rPr>
          <w:rFonts w:eastAsia="Times New Roman" w:cstheme="minorHAnsi"/>
          <w:color w:val="000000"/>
        </w:rPr>
        <w:t>End Qualified Immunity New York</w:t>
      </w:r>
    </w:p>
    <w:p w14:paraId="1CE673F6" w14:textId="4FAF48D8"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Exodus Transitional Community</w:t>
      </w:r>
    </w:p>
    <w:p w14:paraId="2EF4F5C5" w14:textId="3462DC6E" w:rsidR="00C41444" w:rsidRPr="00B0389E" w:rsidRDefault="00C41444" w:rsidP="000B5E9B">
      <w:pPr>
        <w:shd w:val="clear" w:color="auto" w:fill="FFFFFF"/>
        <w:rPr>
          <w:rFonts w:eastAsia="Times New Roman" w:cstheme="minorHAnsi"/>
          <w:color w:val="000000"/>
        </w:rPr>
      </w:pPr>
      <w:r w:rsidRPr="00B0389E">
        <w:rPr>
          <w:rFonts w:eastAsia="Times New Roman" w:cstheme="minorHAnsi"/>
          <w:color w:val="000000"/>
        </w:rPr>
        <w:t>The Fortune Society</w:t>
      </w:r>
    </w:p>
    <w:p w14:paraId="4FFB6421" w14:textId="62E2B98B"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Free the People WNY</w:t>
      </w:r>
    </w:p>
    <w:p w14:paraId="7A3D35EE"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FWD.us</w:t>
      </w:r>
    </w:p>
    <w:p w14:paraId="194AD38A" w14:textId="3549F176" w:rsidR="000B5E9B" w:rsidRPr="00B0389E" w:rsidRDefault="000B5E9B" w:rsidP="000B5E9B">
      <w:pPr>
        <w:shd w:val="clear" w:color="auto" w:fill="FFFFFF"/>
        <w:rPr>
          <w:rFonts w:eastAsia="Times New Roman" w:cstheme="minorHAnsi"/>
          <w:color w:val="000000"/>
        </w:rPr>
      </w:pPr>
      <w:r w:rsidRPr="000B5E9B">
        <w:rPr>
          <w:rFonts w:eastAsia="Times New Roman" w:cstheme="minorHAnsi"/>
          <w:color w:val="000000"/>
        </w:rPr>
        <w:t>GLSEN Lower Hudson Valley</w:t>
      </w:r>
    </w:p>
    <w:p w14:paraId="70C1157B" w14:textId="33B6E3E5" w:rsidR="00C41444" w:rsidRPr="000B5E9B" w:rsidRDefault="00C41444" w:rsidP="000B5E9B">
      <w:pPr>
        <w:shd w:val="clear" w:color="auto" w:fill="FFFFFF"/>
        <w:rPr>
          <w:rFonts w:eastAsia="Times New Roman" w:cstheme="minorHAnsi"/>
          <w:color w:val="000000"/>
        </w:rPr>
      </w:pPr>
      <w:r w:rsidRPr="00B0389E">
        <w:rPr>
          <w:rFonts w:eastAsia="Times New Roman" w:cstheme="minorHAnsi"/>
          <w:color w:val="000000"/>
        </w:rPr>
        <w:t>Hour Children</w:t>
      </w:r>
    </w:p>
    <w:p w14:paraId="66A21425" w14:textId="0A5190E0" w:rsidR="000B5E9B" w:rsidRPr="00B0389E" w:rsidRDefault="000B5E9B" w:rsidP="000B5E9B">
      <w:pPr>
        <w:shd w:val="clear" w:color="auto" w:fill="FFFFFF"/>
        <w:rPr>
          <w:rFonts w:eastAsia="Times New Roman" w:cstheme="minorHAnsi"/>
          <w:color w:val="000000"/>
        </w:rPr>
      </w:pPr>
      <w:r w:rsidRPr="000B5E9B">
        <w:rPr>
          <w:rFonts w:eastAsia="Times New Roman" w:cstheme="minorHAnsi"/>
          <w:color w:val="000000"/>
        </w:rPr>
        <w:t>Innocence Project</w:t>
      </w:r>
    </w:p>
    <w:p w14:paraId="762F9C31" w14:textId="1E2A96AA" w:rsidR="00C41444" w:rsidRPr="000B5E9B" w:rsidRDefault="00C41444" w:rsidP="000B5E9B">
      <w:pPr>
        <w:shd w:val="clear" w:color="auto" w:fill="FFFFFF"/>
        <w:rPr>
          <w:rFonts w:eastAsia="Times New Roman" w:cstheme="minorHAnsi"/>
          <w:color w:val="000000"/>
        </w:rPr>
      </w:pPr>
      <w:r w:rsidRPr="00B0389E">
        <w:rPr>
          <w:rFonts w:eastAsia="Times New Roman" w:cstheme="minorHAnsi"/>
          <w:color w:val="000000"/>
        </w:rPr>
        <w:t>Justice for Families</w:t>
      </w:r>
    </w:p>
    <w:p w14:paraId="72EBC66D"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The Legal Aid Society</w:t>
      </w:r>
    </w:p>
    <w:p w14:paraId="5A282E85" w14:textId="25E3F41F" w:rsidR="000B5E9B" w:rsidRDefault="000B5E9B" w:rsidP="000B5E9B">
      <w:pPr>
        <w:shd w:val="clear" w:color="auto" w:fill="FFFFFF"/>
        <w:rPr>
          <w:rFonts w:eastAsia="Times New Roman" w:cstheme="minorHAnsi"/>
          <w:color w:val="000000"/>
        </w:rPr>
      </w:pPr>
      <w:r w:rsidRPr="000B5E9B">
        <w:rPr>
          <w:rFonts w:eastAsia="Times New Roman" w:cstheme="minorHAnsi"/>
          <w:color w:val="000000"/>
        </w:rPr>
        <w:t>National Association of Criminal Defense Lawyers (NACDL)</w:t>
      </w:r>
    </w:p>
    <w:p w14:paraId="35191DEF" w14:textId="6D98C8EE" w:rsidR="004D0161" w:rsidRPr="000B5E9B" w:rsidRDefault="004D0161" w:rsidP="000B5E9B">
      <w:pPr>
        <w:shd w:val="clear" w:color="auto" w:fill="FFFFFF"/>
        <w:rPr>
          <w:rFonts w:eastAsia="Times New Roman" w:cstheme="minorHAnsi"/>
          <w:color w:val="000000"/>
        </w:rPr>
      </w:pPr>
      <w:r>
        <w:rPr>
          <w:rFonts w:eastAsia="Times New Roman" w:cstheme="minorHAnsi"/>
          <w:color w:val="000000"/>
        </w:rPr>
        <w:t>National Legal Aid &amp; Defender Organization (NLADA)</w:t>
      </w:r>
    </w:p>
    <w:p w14:paraId="528D85F2"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Neighborhood Defender Service of Harlem</w:t>
      </w:r>
    </w:p>
    <w:p w14:paraId="1A5888C1"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New York Civil Liberties Union (NYCLU)</w:t>
      </w:r>
    </w:p>
    <w:p w14:paraId="518326E9"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The New York Immigration Coalition</w:t>
      </w:r>
    </w:p>
    <w:p w14:paraId="2F788778"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New York State Association of Criminal Defense Lawyers (NYSACDL)</w:t>
      </w:r>
    </w:p>
    <w:p w14:paraId="3DF1E3BB"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New York State Defenders Association, Inc. (NYSDA)</w:t>
      </w:r>
    </w:p>
    <w:p w14:paraId="03BA4E4F"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New Yorkers United for Justice (NYUJ)</w:t>
      </w:r>
    </w:p>
    <w:p w14:paraId="1D5AEA38"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New York Working Families Party (WFP)</w:t>
      </w:r>
    </w:p>
    <w:p w14:paraId="43D81EB1"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Open Arms</w:t>
      </w:r>
    </w:p>
    <w:p w14:paraId="551E368E"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Partnership for Public Good</w:t>
      </w:r>
    </w:p>
    <w:p w14:paraId="031FBFA7"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222222"/>
          <w:shd w:val="clear" w:color="auto" w:fill="FFFFFF"/>
        </w:rPr>
        <w:t>The Release Aging People in Prison Campaign/RAPP</w:t>
      </w:r>
    </w:p>
    <w:p w14:paraId="740829E1"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T'ruah: The Rabbinic Call for Human Rights</w:t>
      </w:r>
    </w:p>
    <w:p w14:paraId="783B9021"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shd w:val="clear" w:color="auto" w:fill="FFFFFF"/>
        </w:rPr>
        <w:t>United Voices of Cortland</w:t>
      </w:r>
    </w:p>
    <w:p w14:paraId="2015286B" w14:textId="21E12793" w:rsidR="000B5E9B" w:rsidRPr="00B0389E" w:rsidRDefault="000B5E9B" w:rsidP="000B5E9B">
      <w:pPr>
        <w:shd w:val="clear" w:color="auto" w:fill="FFFFFF"/>
        <w:rPr>
          <w:rFonts w:eastAsia="Times New Roman" w:cstheme="minorHAnsi"/>
          <w:color w:val="000000"/>
        </w:rPr>
      </w:pPr>
      <w:r w:rsidRPr="000B5E9B">
        <w:rPr>
          <w:rFonts w:eastAsia="Times New Roman" w:cstheme="minorHAnsi"/>
          <w:color w:val="000000"/>
        </w:rPr>
        <w:t>Vera Institute of Justice</w:t>
      </w:r>
    </w:p>
    <w:p w14:paraId="55B7E427" w14:textId="238ED11A" w:rsidR="00C41444" w:rsidRPr="00B0389E" w:rsidRDefault="00C41444" w:rsidP="000B5E9B">
      <w:pPr>
        <w:shd w:val="clear" w:color="auto" w:fill="FFFFFF"/>
        <w:rPr>
          <w:rFonts w:eastAsia="Times New Roman" w:cstheme="minorHAnsi"/>
          <w:color w:val="000000"/>
        </w:rPr>
      </w:pPr>
      <w:r w:rsidRPr="00B0389E">
        <w:rPr>
          <w:rFonts w:eastAsia="Times New Roman" w:cstheme="minorHAnsi"/>
          <w:color w:val="000000"/>
        </w:rPr>
        <w:t>Wayne County Public Defender</w:t>
      </w:r>
    </w:p>
    <w:p w14:paraId="38F8A11F" w14:textId="77777777" w:rsidR="00C41444" w:rsidRPr="000B5E9B" w:rsidRDefault="00C41444" w:rsidP="000B5E9B">
      <w:pPr>
        <w:shd w:val="clear" w:color="auto" w:fill="FFFFFF"/>
        <w:rPr>
          <w:rFonts w:eastAsia="Times New Roman" w:cstheme="minorHAnsi"/>
          <w:color w:val="000000"/>
        </w:rPr>
      </w:pPr>
    </w:p>
    <w:p w14:paraId="66BC5009"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 </w:t>
      </w:r>
    </w:p>
    <w:p w14:paraId="615747D4"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 </w:t>
      </w:r>
    </w:p>
    <w:p w14:paraId="6C6B72B2" w14:textId="77777777" w:rsidR="000B5E9B" w:rsidRPr="000B5E9B" w:rsidRDefault="000B5E9B" w:rsidP="000B5E9B">
      <w:pPr>
        <w:shd w:val="clear" w:color="auto" w:fill="FFFFFF"/>
        <w:rPr>
          <w:rFonts w:eastAsia="Times New Roman" w:cstheme="minorHAnsi"/>
          <w:color w:val="000000"/>
        </w:rPr>
      </w:pPr>
      <w:r w:rsidRPr="000B5E9B">
        <w:rPr>
          <w:rFonts w:eastAsia="Times New Roman" w:cstheme="minorHAnsi"/>
          <w:color w:val="000000"/>
        </w:rPr>
        <w:t> </w:t>
      </w:r>
    </w:p>
    <w:p w14:paraId="24D0242E" w14:textId="2AA2E86F" w:rsidR="00E31AFC" w:rsidRPr="00B0389E" w:rsidRDefault="00E31AFC">
      <w:pPr>
        <w:rPr>
          <w:rFonts w:cstheme="minorHAnsi"/>
        </w:rPr>
      </w:pPr>
    </w:p>
    <w:sectPr w:rsidR="00E31AFC" w:rsidRPr="00B03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93B6B"/>
    <w:multiLevelType w:val="multilevel"/>
    <w:tmpl w:val="5446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10CCE"/>
    <w:multiLevelType w:val="multilevel"/>
    <w:tmpl w:val="E164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014B3F"/>
    <w:multiLevelType w:val="multilevel"/>
    <w:tmpl w:val="CE6E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184D18"/>
    <w:multiLevelType w:val="multilevel"/>
    <w:tmpl w:val="C0C4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406429">
    <w:abstractNumId w:val="2"/>
  </w:num>
  <w:num w:numId="2" w16cid:durableId="821234984">
    <w:abstractNumId w:val="3"/>
  </w:num>
  <w:num w:numId="3" w16cid:durableId="1059599747">
    <w:abstractNumId w:val="0"/>
  </w:num>
  <w:num w:numId="4" w16cid:durableId="563100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9B"/>
    <w:rsid w:val="0007420B"/>
    <w:rsid w:val="000B5E9B"/>
    <w:rsid w:val="00171840"/>
    <w:rsid w:val="002B40C9"/>
    <w:rsid w:val="002F0A23"/>
    <w:rsid w:val="004D0161"/>
    <w:rsid w:val="00B0389E"/>
    <w:rsid w:val="00C41444"/>
    <w:rsid w:val="00C50DE8"/>
    <w:rsid w:val="00E31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24D73"/>
  <w15:chartTrackingRefBased/>
  <w15:docId w15:val="{65E82271-9560-804A-A934-F3240F82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5E9B"/>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0B5E9B"/>
  </w:style>
  <w:style w:type="character" w:styleId="Hyperlink">
    <w:name w:val="Hyperlink"/>
    <w:basedOn w:val="DefaultParagraphFont"/>
    <w:uiPriority w:val="99"/>
    <w:semiHidden/>
    <w:unhideWhenUsed/>
    <w:rsid w:val="000B5E9B"/>
    <w:rPr>
      <w:color w:val="0000FF"/>
      <w:u w:val="single"/>
    </w:rPr>
  </w:style>
  <w:style w:type="character" w:customStyle="1" w:styleId="apple-converted-space">
    <w:name w:val="apple-converted-space"/>
    <w:basedOn w:val="DefaultParagraphFont"/>
    <w:rsid w:val="00C41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62245">
      <w:bodyDiv w:val="1"/>
      <w:marLeft w:val="0"/>
      <w:marRight w:val="0"/>
      <w:marTop w:val="0"/>
      <w:marBottom w:val="0"/>
      <w:divBdr>
        <w:top w:val="none" w:sz="0" w:space="0" w:color="auto"/>
        <w:left w:val="none" w:sz="0" w:space="0" w:color="auto"/>
        <w:bottom w:val="none" w:sz="0" w:space="0" w:color="auto"/>
        <w:right w:val="none" w:sz="0" w:space="0" w:color="auto"/>
      </w:divBdr>
      <w:divsChild>
        <w:div w:id="1647734773">
          <w:marLeft w:val="0"/>
          <w:marRight w:val="0"/>
          <w:marTop w:val="0"/>
          <w:marBottom w:val="0"/>
          <w:divBdr>
            <w:top w:val="none" w:sz="0" w:space="0" w:color="auto"/>
            <w:left w:val="none" w:sz="0" w:space="0" w:color="auto"/>
            <w:bottom w:val="none" w:sz="0" w:space="0" w:color="auto"/>
            <w:right w:val="none" w:sz="0" w:space="0" w:color="auto"/>
          </w:divBdr>
        </w:div>
        <w:div w:id="648947789">
          <w:marLeft w:val="0"/>
          <w:marRight w:val="0"/>
          <w:marTop w:val="0"/>
          <w:marBottom w:val="0"/>
          <w:divBdr>
            <w:top w:val="none" w:sz="0" w:space="0" w:color="auto"/>
            <w:left w:val="none" w:sz="0" w:space="0" w:color="auto"/>
            <w:bottom w:val="none" w:sz="0" w:space="0" w:color="auto"/>
            <w:right w:val="none" w:sz="0" w:space="0" w:color="auto"/>
          </w:divBdr>
        </w:div>
        <w:div w:id="428740436">
          <w:marLeft w:val="0"/>
          <w:marRight w:val="0"/>
          <w:marTop w:val="0"/>
          <w:marBottom w:val="0"/>
          <w:divBdr>
            <w:top w:val="none" w:sz="0" w:space="0" w:color="auto"/>
            <w:left w:val="none" w:sz="0" w:space="0" w:color="auto"/>
            <w:bottom w:val="none" w:sz="0" w:space="0" w:color="auto"/>
            <w:right w:val="none" w:sz="0" w:space="0" w:color="auto"/>
          </w:divBdr>
        </w:div>
        <w:div w:id="312686830">
          <w:marLeft w:val="0"/>
          <w:marRight w:val="0"/>
          <w:marTop w:val="0"/>
          <w:marBottom w:val="0"/>
          <w:divBdr>
            <w:top w:val="none" w:sz="0" w:space="0" w:color="auto"/>
            <w:left w:val="none" w:sz="0" w:space="0" w:color="auto"/>
            <w:bottom w:val="none" w:sz="0" w:space="0" w:color="auto"/>
            <w:right w:val="none" w:sz="0" w:space="0" w:color="auto"/>
          </w:divBdr>
        </w:div>
      </w:divsChild>
    </w:div>
    <w:div w:id="873885029">
      <w:bodyDiv w:val="1"/>
      <w:marLeft w:val="0"/>
      <w:marRight w:val="0"/>
      <w:marTop w:val="0"/>
      <w:marBottom w:val="0"/>
      <w:divBdr>
        <w:top w:val="none" w:sz="0" w:space="0" w:color="auto"/>
        <w:left w:val="none" w:sz="0" w:space="0" w:color="auto"/>
        <w:bottom w:val="none" w:sz="0" w:space="0" w:color="auto"/>
        <w:right w:val="none" w:sz="0" w:space="0" w:color="auto"/>
      </w:divBdr>
    </w:div>
    <w:div w:id="158048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w.umich.edu/special/exoneration/Pages/detaillist.aspx?View=%7BFAF6EDDB-5A68-4F8F-8A52-2C61F5BF9EA7%7D&amp;FilterField1=Group&amp;FilterValue1=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w.umich.edu/special/exoneration/Pages/detaillist.aspx" TargetMode="External"/><Relationship Id="rId5" Type="http://schemas.openxmlformats.org/officeDocument/2006/relationships/hyperlink" Target="https://www.law.umich.edu/special/exoneration/Pages/about.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1361</Words>
  <Characters>7764</Characters>
  <Application>Microsoft Office Word</Application>
  <DocSecurity>0</DocSecurity>
  <Lines>64</Lines>
  <Paragraphs>18</Paragraphs>
  <ScaleCrop>false</ScaleCrop>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Brown</dc:creator>
  <cp:keywords/>
  <dc:description/>
  <cp:lastModifiedBy>Monica Reid</cp:lastModifiedBy>
  <cp:revision>3</cp:revision>
  <dcterms:created xsi:type="dcterms:W3CDTF">2022-04-14T15:21:00Z</dcterms:created>
  <dcterms:modified xsi:type="dcterms:W3CDTF">2022-04-14T15:21:00Z</dcterms:modified>
</cp:coreProperties>
</file>